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b/>
          <w:sz w:val="18"/>
          <w:szCs w:val="18"/>
          <w:lang w:val="en-US" w:eastAsia="zh-CN"/>
        </w:rPr>
      </w:pPr>
      <w:bookmarkStart w:id="1" w:name="_GoBack"/>
      <w:bookmarkEnd w:id="1"/>
    </w:p>
    <w:p>
      <w:pPr>
        <w:jc w:val="center"/>
        <w:rPr>
          <w:rFonts w:hint="eastAsia" w:eastAsia="宋体"/>
          <w:b/>
          <w:sz w:val="18"/>
          <w:szCs w:val="18"/>
          <w:lang w:val="en-US" w:eastAsia="zh-CN"/>
        </w:rPr>
      </w:pPr>
    </w:p>
    <w:p>
      <w:pPr>
        <w:jc w:val="center"/>
        <w:rPr>
          <w:rFonts w:hint="eastAsia" w:eastAsia="宋体"/>
          <w:b/>
          <w:sz w:val="18"/>
          <w:szCs w:val="18"/>
          <w:lang w:val="en-US" w:eastAsia="zh-CN"/>
        </w:rPr>
      </w:pPr>
      <w:r>
        <w:rPr>
          <w:rFonts w:hint="eastAsia" w:eastAsia="宋体"/>
          <w:b/>
          <w:sz w:val="18"/>
          <w:szCs w:val="18"/>
          <w:lang w:val="en-US" w:eastAsia="zh-CN"/>
        </w:rPr>
        <w:t xml:space="preserve"> </w:t>
      </w:r>
    </w:p>
    <w:p>
      <w:pPr>
        <w:pStyle w:val="190"/>
        <w:spacing w:before="39"/>
        <w:ind w:right="-50" w:rightChars="-24"/>
        <w:jc w:val="center"/>
        <w:rPr>
          <w:rFonts w:hint="eastAsia" w:cs="Times New Roman"/>
          <w:kern w:val="0"/>
          <w:sz w:val="84"/>
          <w:szCs w:val="84"/>
          <w:lang w:val="en-US" w:eastAsia="zh-CN"/>
        </w:rPr>
      </w:pPr>
    </w:p>
    <w:p>
      <w:pPr>
        <w:pStyle w:val="190"/>
        <w:spacing w:before="39"/>
        <w:ind w:right="-50" w:rightChars="-24"/>
        <w:jc w:val="center"/>
        <w:rPr>
          <w:rFonts w:hint="default" w:eastAsia="宋体"/>
          <w:b/>
          <w:sz w:val="84"/>
          <w:szCs w:val="84"/>
          <w:lang w:val="en-US" w:eastAsia="zh-CN"/>
        </w:rPr>
      </w:pPr>
      <w:r>
        <w:rPr>
          <w:rFonts w:hint="eastAsia" w:cs="Times New Roman"/>
          <w:kern w:val="0"/>
          <w:sz w:val="84"/>
          <w:szCs w:val="84"/>
          <w:lang w:val="en-US" w:eastAsia="zh-CN"/>
        </w:rPr>
        <w:t>社会责任报告</w:t>
      </w: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r>
        <w:rPr>
          <w:rFonts w:hint="eastAsia" w:eastAsia="宋体"/>
          <w:b/>
          <w:sz w:val="18"/>
          <w:szCs w:val="18"/>
          <w:lang w:val="en-US" w:eastAsia="zh-CN"/>
        </w:rPr>
        <w:t>、</w:t>
      </w: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48"/>
          <w:szCs w:val="48"/>
          <w:lang w:val="en-US" w:eastAsia="zh-CN"/>
        </w:rPr>
      </w:pPr>
      <w:r>
        <w:rPr>
          <w:rFonts w:hint="eastAsia" w:ascii="Calibri" w:hAnsi="Calibri" w:eastAsia="宋体" w:cs="Times New Roman"/>
          <w:b/>
          <w:sz w:val="48"/>
          <w:szCs w:val="48"/>
          <w:lang w:val="en-US" w:eastAsia="zh-CN"/>
        </w:rPr>
        <w:t>浙江华晟金属制品有限公司</w:t>
      </w:r>
    </w:p>
    <w:p>
      <w:pPr>
        <w:jc w:val="center"/>
        <w:rPr>
          <w:rFonts w:hint="default" w:eastAsia="宋体"/>
          <w:b/>
          <w:sz w:val="48"/>
          <w:szCs w:val="48"/>
          <w:lang w:val="en-US" w:eastAsia="zh-CN"/>
        </w:rPr>
      </w:pPr>
      <w:r>
        <w:rPr>
          <w:rFonts w:hint="eastAsia" w:eastAsia="宋体"/>
          <w:b/>
          <w:sz w:val="48"/>
          <w:szCs w:val="48"/>
          <w:lang w:val="en-US" w:eastAsia="zh-CN"/>
        </w:rPr>
        <w:t>二0二一年三月</w:t>
      </w:r>
    </w:p>
    <w:p>
      <w:pPr>
        <w:jc w:val="center"/>
        <w:rPr>
          <w:rFonts w:hint="eastAsia" w:eastAsia="宋体"/>
          <w:b/>
          <w:sz w:val="48"/>
          <w:szCs w:val="4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spacing w:after="120" w:afterLines="50"/>
        <w:jc w:val="center"/>
        <w:rPr>
          <w:rFonts w:hint="eastAsia" w:ascii="黑体" w:hAnsi="黑体" w:eastAsia="黑体" w:cs="黑体"/>
          <w:b/>
          <w:sz w:val="32"/>
          <w:szCs w:val="32"/>
        </w:rPr>
      </w:pPr>
      <w:r>
        <w:rPr>
          <w:rFonts w:hint="eastAsia" w:ascii="黑体" w:hAnsi="黑体" w:eastAsia="黑体" w:cs="黑体"/>
          <w:b/>
          <w:sz w:val="32"/>
          <w:szCs w:val="32"/>
        </w:rPr>
        <w:t>目  录</w:t>
      </w:r>
    </w:p>
    <w:p>
      <w:pPr>
        <w:spacing w:after="120" w:afterLines="50" w:line="360" w:lineRule="auto"/>
        <w:ind w:firstLine="550" w:firstLineChars="250"/>
        <w:rPr>
          <w:rFonts w:hint="eastAsia" w:ascii="宋体" w:hAnsi="宋体"/>
          <w:sz w:val="22"/>
          <w:szCs w:val="21"/>
        </w:rPr>
      </w:pPr>
    </w:p>
    <w:p>
      <w:pPr>
        <w:spacing w:after="120" w:afterLines="50" w:line="360" w:lineRule="auto"/>
        <w:ind w:firstLine="600" w:firstLineChars="250"/>
        <w:rPr>
          <w:rFonts w:hint="eastAsia" w:ascii="宋体" w:hAnsi="宋体"/>
          <w:sz w:val="24"/>
        </w:rPr>
      </w:pPr>
      <w:r>
        <w:rPr>
          <w:rFonts w:hint="eastAsia" w:ascii="宋体" w:hAnsi="宋体"/>
          <w:sz w:val="24"/>
        </w:rPr>
        <w:t>编制说明 ------------------------------------------------------3</w:t>
      </w:r>
    </w:p>
    <w:p>
      <w:pPr>
        <w:spacing w:after="120" w:afterLines="50" w:line="360" w:lineRule="auto"/>
        <w:ind w:firstLine="600" w:firstLineChars="250"/>
        <w:rPr>
          <w:rFonts w:hint="eastAsia" w:ascii="宋体" w:hAnsi="宋体"/>
          <w:sz w:val="24"/>
        </w:rPr>
      </w:pPr>
      <w:r>
        <w:rPr>
          <w:rFonts w:hint="eastAsia" w:ascii="宋体" w:hAnsi="宋体"/>
          <w:sz w:val="24"/>
        </w:rPr>
        <w:t>前言 ----------------------------------------------------------4</w:t>
      </w:r>
    </w:p>
    <w:p>
      <w:pPr>
        <w:spacing w:after="120" w:afterLines="50" w:line="360" w:lineRule="auto"/>
        <w:ind w:firstLine="600" w:firstLineChars="250"/>
        <w:rPr>
          <w:rFonts w:hint="eastAsia" w:ascii="宋体" w:hAnsi="宋体"/>
          <w:sz w:val="24"/>
        </w:rPr>
      </w:pPr>
      <w:r>
        <w:rPr>
          <w:rFonts w:hint="eastAsia" w:ascii="宋体" w:hAnsi="宋体"/>
          <w:sz w:val="24"/>
        </w:rPr>
        <w:t>一、注重文化建设的社会责任 ------------------------------------5</w:t>
      </w:r>
    </w:p>
    <w:p>
      <w:pPr>
        <w:spacing w:after="120" w:afterLines="50" w:line="360" w:lineRule="auto"/>
        <w:ind w:firstLine="600" w:firstLineChars="250"/>
        <w:rPr>
          <w:rFonts w:hint="eastAsia" w:ascii="宋体" w:hAnsi="宋体"/>
          <w:sz w:val="24"/>
        </w:rPr>
      </w:pPr>
      <w:r>
        <w:rPr>
          <w:rFonts w:hint="eastAsia" w:ascii="宋体" w:hAnsi="宋体"/>
          <w:sz w:val="24"/>
        </w:rPr>
        <w:t>二、追求高质量产品和服务的社会责任 ----------------------------6</w:t>
      </w:r>
    </w:p>
    <w:p>
      <w:pPr>
        <w:spacing w:after="120" w:afterLines="50" w:line="360" w:lineRule="auto"/>
        <w:ind w:firstLine="600" w:firstLineChars="250"/>
        <w:rPr>
          <w:rFonts w:hint="eastAsia" w:ascii="宋体" w:hAnsi="宋体"/>
          <w:sz w:val="24"/>
        </w:rPr>
      </w:pPr>
      <w:r>
        <w:rPr>
          <w:rFonts w:hint="eastAsia" w:ascii="宋体" w:hAnsi="宋体"/>
          <w:sz w:val="24"/>
        </w:rPr>
        <w:t>三、遵守国家法律法规的社会责任 --------------------------------7</w:t>
      </w:r>
    </w:p>
    <w:p>
      <w:pPr>
        <w:spacing w:after="120" w:afterLines="50" w:line="360" w:lineRule="auto"/>
        <w:ind w:firstLine="600" w:firstLineChars="250"/>
        <w:rPr>
          <w:rFonts w:hint="eastAsia" w:ascii="宋体" w:hAnsi="宋体"/>
          <w:sz w:val="24"/>
        </w:rPr>
      </w:pPr>
      <w:r>
        <w:rPr>
          <w:rFonts w:hint="eastAsia" w:ascii="宋体" w:hAnsi="宋体"/>
          <w:sz w:val="24"/>
        </w:rPr>
        <w:t>四、关注员工的文化建设和健康 ---------------------------------10</w:t>
      </w:r>
    </w:p>
    <w:p>
      <w:pPr>
        <w:spacing w:after="120" w:afterLines="50" w:line="360" w:lineRule="auto"/>
        <w:ind w:firstLine="600" w:firstLineChars="250"/>
        <w:rPr>
          <w:rFonts w:hint="eastAsia" w:ascii="宋体" w:hAnsi="宋体"/>
          <w:sz w:val="24"/>
        </w:rPr>
      </w:pPr>
      <w:r>
        <w:rPr>
          <w:rFonts w:hint="eastAsia" w:ascii="宋体" w:hAnsi="宋体"/>
          <w:sz w:val="24"/>
        </w:rPr>
        <w:t>五、回报社会，参与公益事业 -----------------------------------15</w:t>
      </w:r>
    </w:p>
    <w:p>
      <w:pPr>
        <w:spacing w:after="120" w:afterLines="50" w:line="360" w:lineRule="auto"/>
        <w:ind w:firstLine="600" w:firstLineChars="250"/>
        <w:rPr>
          <w:rFonts w:hint="eastAsia" w:ascii="宋体" w:hAnsi="宋体"/>
          <w:sz w:val="24"/>
        </w:rPr>
      </w:pPr>
      <w:r>
        <w:rPr>
          <w:rFonts w:hint="eastAsia" w:ascii="宋体" w:hAnsi="宋体"/>
          <w:sz w:val="24"/>
        </w:rPr>
        <w:t xml:space="preserve">结束语 </w:t>
      </w:r>
      <w:r>
        <w:rPr>
          <w:rFonts w:ascii="宋体" w:hAnsi="宋体"/>
          <w:sz w:val="24"/>
        </w:rPr>
        <w:t>-------------------------------------</w:t>
      </w:r>
      <w:r>
        <w:rPr>
          <w:rFonts w:hint="eastAsia" w:ascii="宋体" w:hAnsi="宋体"/>
          <w:sz w:val="24"/>
        </w:rPr>
        <w:t>--</w:t>
      </w:r>
      <w:r>
        <w:rPr>
          <w:rFonts w:ascii="宋体" w:hAnsi="宋体"/>
          <w:sz w:val="24"/>
        </w:rPr>
        <w:t>----------------1</w:t>
      </w:r>
      <w:r>
        <w:rPr>
          <w:rFonts w:hint="eastAsia" w:ascii="宋体" w:hAnsi="宋体"/>
          <w:sz w:val="24"/>
        </w:rPr>
        <w:t>5</w:t>
      </w:r>
    </w:p>
    <w:p>
      <w:pPr>
        <w:spacing w:after="120" w:afterLines="50" w:line="360" w:lineRule="auto"/>
        <w:ind w:firstLine="600" w:firstLineChars="250"/>
        <w:rPr>
          <w:rFonts w:hint="eastAsia" w:ascii="宋体" w:hAnsi="宋体"/>
          <w:sz w:val="24"/>
        </w:rPr>
      </w:pPr>
    </w:p>
    <w:p>
      <w:pPr>
        <w:spacing w:after="120" w:afterLines="50" w:line="360" w:lineRule="auto"/>
        <w:ind w:firstLine="600" w:firstLineChars="250"/>
        <w:rPr>
          <w:rFonts w:hint="eastAsia" w:ascii="宋体" w:hAnsi="宋体"/>
          <w:sz w:val="24"/>
          <w:szCs w:val="21"/>
        </w:rPr>
      </w:pPr>
    </w:p>
    <w:p>
      <w:pPr>
        <w:spacing w:line="360" w:lineRule="auto"/>
        <w:ind w:firstLine="525" w:firstLineChars="250"/>
        <w:rPr>
          <w:rFonts w:hint="eastAsia" w:ascii="宋体" w:hAnsi="宋体"/>
          <w:szCs w:val="21"/>
        </w:rPr>
      </w:pPr>
    </w:p>
    <w:p>
      <w:pPr>
        <w:spacing w:after="120" w:afterLines="50" w:line="360" w:lineRule="auto"/>
        <w:rPr>
          <w:rFonts w:ascii="宋体" w:hAnsi="宋体"/>
          <w:sz w:val="24"/>
        </w:rPr>
      </w:pPr>
      <w:r>
        <w:rPr>
          <w:rFonts w:hint="eastAsia" w:ascii="宋体" w:hAnsi="宋体"/>
          <w:sz w:val="24"/>
        </w:rPr>
        <w:t xml:space="preserve">    </w:t>
      </w: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jc w:val="center"/>
        <w:rPr>
          <w:rFonts w:hint="eastAsia"/>
          <w:b/>
          <w:sz w:val="32"/>
          <w:szCs w:val="32"/>
        </w:rPr>
      </w:pPr>
      <w:r>
        <w:rPr>
          <w:rFonts w:hint="eastAsia"/>
          <w:b/>
          <w:sz w:val="32"/>
          <w:szCs w:val="32"/>
        </w:rPr>
        <w:t xml:space="preserve">编 制 </w:t>
      </w:r>
      <w:r>
        <w:rPr>
          <w:b/>
          <w:sz w:val="32"/>
          <w:szCs w:val="32"/>
        </w:rPr>
        <w:t>说</w:t>
      </w:r>
      <w:r>
        <w:rPr>
          <w:rFonts w:hint="eastAsia"/>
          <w:b/>
          <w:sz w:val="32"/>
          <w:szCs w:val="32"/>
        </w:rPr>
        <w:t xml:space="preserve"> </w:t>
      </w:r>
      <w:r>
        <w:rPr>
          <w:b/>
          <w:sz w:val="32"/>
          <w:szCs w:val="32"/>
        </w:rPr>
        <w:t>明</w:t>
      </w:r>
    </w:p>
    <w:p>
      <w:pPr>
        <w:spacing w:after="120" w:afterLines="50" w:line="360" w:lineRule="auto"/>
        <w:jc w:val="center"/>
        <w:rPr>
          <w:b/>
          <w:sz w:val="28"/>
          <w:szCs w:val="28"/>
        </w:rPr>
      </w:pP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企业社会责任报告（简称</w:t>
      </w:r>
      <w:r>
        <w:rPr>
          <w:rFonts w:hint="eastAsia" w:ascii="宋体" w:hAnsi="宋体" w:cs="宋体"/>
          <w:sz w:val="24"/>
          <w:shd w:val="clear" w:color="auto" w:fill="FFFFFF"/>
        </w:rPr>
        <w:fldChar w:fldCharType="begin"/>
      </w:r>
      <w:r>
        <w:rPr>
          <w:rFonts w:hint="eastAsia" w:ascii="宋体" w:hAnsi="宋体" w:cs="宋体"/>
          <w:sz w:val="24"/>
          <w:shd w:val="clear" w:color="auto" w:fill="FFFFFF"/>
        </w:rPr>
        <w:instrText xml:space="preserve"> HYPERLINK "https://baike.baidu.com/item/CSR" \t "_blank" </w:instrText>
      </w:r>
      <w:r>
        <w:rPr>
          <w:rFonts w:hint="eastAsia" w:ascii="宋体" w:hAnsi="宋体" w:cs="宋体"/>
          <w:sz w:val="24"/>
          <w:shd w:val="clear" w:color="auto" w:fill="FFFFFF"/>
        </w:rPr>
        <w:fldChar w:fldCharType="separate"/>
      </w:r>
      <w:r>
        <w:rPr>
          <w:rFonts w:hint="eastAsia" w:ascii="宋体" w:hAnsi="宋体" w:cs="宋体"/>
          <w:sz w:val="24"/>
        </w:rPr>
        <w:t>CSR</w:t>
      </w:r>
      <w:r>
        <w:rPr>
          <w:rFonts w:hint="eastAsia" w:ascii="宋体" w:hAnsi="宋体" w:cs="宋体"/>
          <w:sz w:val="24"/>
          <w:shd w:val="clear" w:color="auto" w:fill="FFFFFF"/>
        </w:rPr>
        <w:fldChar w:fldCharType="end"/>
      </w:r>
      <w:r>
        <w:rPr>
          <w:rFonts w:hint="eastAsia" w:ascii="宋体" w:hAnsi="宋体" w:cs="宋体"/>
          <w:sz w:val="24"/>
          <w:shd w:val="clear" w:color="auto" w:fill="FFFFFF"/>
        </w:rPr>
        <w:t>报告）指的是企业将其履行社会责任的理念、战略、方式方法，其经营活动对经济、环境、社会等领域造成的直接和间接影响、取得的成绩及不足等信息，进行系统的梳理和总结。</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w:t>
      </w:r>
      <w:r>
        <w:rPr>
          <w:rFonts w:hint="eastAsia" w:ascii="宋体" w:hAnsi="宋体" w:eastAsia="宋体" w:cs="宋体"/>
          <w:sz w:val="24"/>
          <w:shd w:val="clear" w:color="auto" w:fill="FFFFFF"/>
          <w:lang w:eastAsia="zh-CN"/>
        </w:rPr>
        <w:t>浙江华晟金属制品</w:t>
      </w:r>
      <w:r>
        <w:rPr>
          <w:rFonts w:hint="eastAsia" w:ascii="宋体" w:hAnsi="宋体" w:eastAsia="Calibri" w:cs="宋体"/>
          <w:sz w:val="24"/>
          <w:shd w:val="clear" w:color="auto" w:fill="FFFFFF"/>
        </w:rPr>
        <w:t>有限公司</w:t>
      </w:r>
      <w:r>
        <w:rPr>
          <w:rFonts w:hint="eastAsia" w:ascii="宋体" w:hAnsi="宋体" w:cs="宋体"/>
          <w:sz w:val="24"/>
          <w:shd w:val="clear" w:color="auto" w:fill="FFFFFF"/>
        </w:rPr>
        <w:t>20</w:t>
      </w:r>
      <w:r>
        <w:rPr>
          <w:rFonts w:hint="eastAsia" w:ascii="宋体" w:hAnsi="宋体" w:cs="宋体"/>
          <w:sz w:val="24"/>
          <w:shd w:val="clear" w:color="auto" w:fill="FFFFFF"/>
          <w:lang w:val="en-US" w:eastAsia="zh-CN"/>
        </w:rPr>
        <w:t>20</w:t>
      </w:r>
      <w:r>
        <w:rPr>
          <w:rFonts w:hint="eastAsia" w:ascii="宋体" w:hAnsi="宋体" w:cs="宋体"/>
          <w:sz w:val="24"/>
          <w:shd w:val="clear" w:color="auto" w:fill="FFFFFF"/>
        </w:rPr>
        <w:t>年度社会责任报告》(以下简称“报告”)，是</w:t>
      </w:r>
      <w:r>
        <w:rPr>
          <w:rFonts w:hint="eastAsia" w:ascii="宋体" w:hAnsi="宋体" w:eastAsia="宋体" w:cs="宋体"/>
          <w:sz w:val="24"/>
          <w:shd w:val="clear" w:color="auto" w:fill="FFFFFF"/>
          <w:lang w:eastAsia="zh-CN"/>
        </w:rPr>
        <w:t>浙江华晟金属制品</w:t>
      </w:r>
      <w:r>
        <w:rPr>
          <w:rFonts w:hint="eastAsia" w:ascii="宋体" w:hAnsi="宋体" w:cs="宋体"/>
          <w:sz w:val="24"/>
          <w:shd w:val="clear" w:color="auto" w:fill="FFFFFF"/>
          <w:lang w:val="en-US" w:eastAsia="zh-CN"/>
        </w:rPr>
        <w:t>机</w:t>
      </w:r>
      <w:r>
        <w:rPr>
          <w:rFonts w:hint="eastAsia" w:ascii="宋体" w:hAnsi="宋体" w:cs="宋体"/>
          <w:sz w:val="24"/>
          <w:shd w:val="clear" w:color="auto" w:fill="FFFFFF"/>
          <w:lang w:eastAsia="zh-CN"/>
        </w:rPr>
        <w:t>有限公司</w:t>
      </w:r>
      <w:r>
        <w:rPr>
          <w:rFonts w:hint="eastAsia" w:ascii="宋体" w:hAnsi="宋体" w:cs="宋体"/>
          <w:sz w:val="24"/>
          <w:shd w:val="clear" w:color="auto" w:fill="FFFFFF"/>
        </w:rPr>
        <w:t>发布的首份企业社会责任报告，也是</w:t>
      </w:r>
      <w:r>
        <w:rPr>
          <w:rFonts w:hint="eastAsia" w:ascii="宋体" w:hAnsi="宋体" w:eastAsia="宋体" w:cs="宋体"/>
          <w:sz w:val="24"/>
          <w:shd w:val="clear" w:color="auto" w:fill="FFFFFF"/>
          <w:lang w:eastAsia="zh-CN"/>
        </w:rPr>
        <w:t>浙江华晟金属制品</w:t>
      </w:r>
      <w:r>
        <w:rPr>
          <w:rFonts w:hint="eastAsia" w:ascii="宋体" w:hAnsi="宋体" w:cs="宋体"/>
          <w:sz w:val="24"/>
          <w:shd w:val="clear" w:color="auto" w:fill="FFFFFF"/>
        </w:rPr>
        <w:t>在20</w:t>
      </w:r>
      <w:r>
        <w:rPr>
          <w:rFonts w:hint="eastAsia" w:ascii="宋体" w:hAnsi="宋体" w:eastAsia="宋体" w:cs="宋体"/>
          <w:sz w:val="24"/>
          <w:shd w:val="clear" w:color="auto" w:fill="FFFFFF"/>
          <w:lang w:val="en-US" w:eastAsia="zh-CN"/>
        </w:rPr>
        <w:t>20</w:t>
      </w:r>
      <w:r>
        <w:rPr>
          <w:rFonts w:hint="eastAsia" w:ascii="宋体" w:hAnsi="宋体" w:cs="宋体"/>
          <w:sz w:val="24"/>
          <w:shd w:val="clear" w:color="auto" w:fill="FFFFFF"/>
        </w:rPr>
        <w:t>年度履行社会责任的整体报告。本报告真实、客观地反映和披露了20</w:t>
      </w:r>
      <w:r>
        <w:rPr>
          <w:rFonts w:hint="eastAsia" w:ascii="宋体" w:hAnsi="宋体" w:cs="宋体"/>
          <w:sz w:val="24"/>
          <w:shd w:val="clear" w:color="auto" w:fill="FFFFFF"/>
          <w:lang w:val="en-US" w:eastAsia="zh-CN"/>
        </w:rPr>
        <w:t>20</w:t>
      </w:r>
      <w:r>
        <w:rPr>
          <w:rFonts w:hint="eastAsia" w:ascii="宋体" w:hAnsi="宋体" w:cs="宋体"/>
          <w:sz w:val="24"/>
          <w:shd w:val="clear" w:color="auto" w:fill="FFFFFF"/>
        </w:rPr>
        <w:t>年度公司在构建和谐社会、推进经济社会可持续发展、自然环境和资源保护，以及对公司股东、债权人、员工、供应商、消费者等利益相关方积极承担和履行社会责任的总体表现。本公司保证报告中所载资料不存在任何虚假记载、误导性陈述，并对其内容的真实性、准确性承担责任。</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本报告参考中国社科院《中国企业社会责任报告编制指南》(CASS-CSR3.0)编写。</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 xml:space="preserve">报告组织范围: </w:t>
      </w:r>
      <w:r>
        <w:rPr>
          <w:rFonts w:hint="eastAsia" w:ascii="宋体" w:hAnsi="宋体" w:eastAsia="宋体" w:cs="宋体"/>
          <w:sz w:val="24"/>
          <w:shd w:val="clear" w:color="auto" w:fill="FFFFFF"/>
          <w:lang w:eastAsia="zh-CN"/>
        </w:rPr>
        <w:t>浙江华晟金属制品</w:t>
      </w:r>
      <w:r>
        <w:rPr>
          <w:rFonts w:hint="eastAsia" w:ascii="宋体" w:hAnsi="宋体" w:cs="宋体"/>
          <w:sz w:val="24"/>
          <w:shd w:val="clear" w:color="auto" w:fill="FFFFFF"/>
          <w:lang w:eastAsia="zh-CN"/>
        </w:rPr>
        <w:t>有限公司</w:t>
      </w:r>
      <w:r>
        <w:rPr>
          <w:rFonts w:hint="eastAsia" w:ascii="宋体" w:hAnsi="宋体" w:cs="宋体"/>
          <w:sz w:val="24"/>
          <w:shd w:val="clear" w:color="auto" w:fill="FFFFFF"/>
        </w:rPr>
        <w:t>。</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报告时间范围: 20</w:t>
      </w:r>
      <w:r>
        <w:rPr>
          <w:rFonts w:hint="eastAsia" w:ascii="宋体" w:hAnsi="宋体" w:eastAsia="宋体" w:cs="宋体"/>
          <w:sz w:val="24"/>
          <w:shd w:val="clear" w:color="auto" w:fill="FFFFFF"/>
          <w:lang w:val="en-US" w:eastAsia="zh-CN"/>
        </w:rPr>
        <w:t>20</w:t>
      </w:r>
      <w:r>
        <w:rPr>
          <w:rFonts w:hint="eastAsia" w:ascii="宋体" w:hAnsi="宋体" w:cs="宋体"/>
          <w:sz w:val="24"/>
          <w:shd w:val="clear" w:color="auto" w:fill="FFFFFF"/>
        </w:rPr>
        <w:t>年1月- -20</w:t>
      </w:r>
      <w:r>
        <w:rPr>
          <w:rFonts w:hint="eastAsia" w:ascii="宋体" w:hAnsi="宋体" w:cs="宋体"/>
          <w:sz w:val="24"/>
          <w:shd w:val="clear" w:color="auto" w:fill="FFFFFF"/>
          <w:lang w:val="en-US" w:eastAsia="zh-CN"/>
        </w:rPr>
        <w:t>20</w:t>
      </w:r>
      <w:r>
        <w:rPr>
          <w:rFonts w:hint="eastAsia" w:ascii="宋体" w:hAnsi="宋体" w:cs="宋体"/>
          <w:sz w:val="24"/>
          <w:shd w:val="clear" w:color="auto" w:fill="FFFFFF"/>
        </w:rPr>
        <w:t>年1</w:t>
      </w:r>
      <w:r>
        <w:rPr>
          <w:rFonts w:hint="eastAsia" w:ascii="宋体" w:hAnsi="宋体" w:eastAsia="宋体" w:cs="宋体"/>
          <w:sz w:val="24"/>
          <w:shd w:val="clear" w:color="auto" w:fill="FFFFFF"/>
          <w:lang w:val="en-US" w:eastAsia="zh-CN"/>
        </w:rPr>
        <w:t>2</w:t>
      </w:r>
      <w:r>
        <w:rPr>
          <w:rFonts w:hint="eastAsia" w:ascii="宋体" w:hAnsi="宋体" w:cs="宋体"/>
          <w:sz w:val="24"/>
          <w:shd w:val="clear" w:color="auto" w:fill="FFFFFF"/>
        </w:rPr>
        <w:t>月。部分数据超出此范围，以文中说明为准。</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报告发布周期：以年度为一个周期。本报告为首次发布。</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报告公示范围：本报告以书面形式公布给相关方。</w:t>
      </w:r>
    </w:p>
    <w:p>
      <w:pPr>
        <w:pStyle w:val="11"/>
        <w:spacing w:line="360" w:lineRule="auto"/>
        <w:ind w:left="0" w:leftChars="0" w:firstLine="638" w:firstLineChars="266"/>
        <w:rPr>
          <w:rFonts w:hint="default" w:ascii="宋体" w:hAnsi="宋体" w:cs="宋体"/>
          <w:color w:val="FF0000"/>
          <w:sz w:val="24"/>
          <w:shd w:val="clear" w:color="auto" w:fill="FFFFFF"/>
          <w:lang w:val="en-US" w:eastAsia="zh-CN"/>
        </w:rPr>
        <w:sectPr>
          <w:pgSz w:w="11907" w:h="16840"/>
          <w:pgMar w:top="1540" w:right="1100" w:bottom="1160" w:left="1300" w:header="849" w:footer="979" w:gutter="0"/>
          <w:pgBorders w:offsetFrom="page">
            <w:top w:val="none" w:sz="0" w:space="0"/>
            <w:left w:val="none" w:sz="0" w:space="0"/>
            <w:bottom w:val="none" w:sz="0" w:space="0"/>
            <w:right w:val="none" w:sz="0" w:space="0"/>
          </w:pgBorders>
          <w:cols w:space="720" w:num="1"/>
        </w:sectPr>
      </w:pPr>
      <w:r>
        <w:rPr>
          <w:rFonts w:hint="eastAsia" w:ascii="宋体" w:hAnsi="宋体" w:cs="宋体"/>
          <w:sz w:val="24"/>
          <w:shd w:val="clear" w:color="auto" w:fill="FFFFFF"/>
          <w:lang w:val="en-US" w:eastAsia="zh-CN"/>
        </w:rPr>
        <w:t>报告获</w:t>
      </w:r>
      <w:r>
        <w:rPr>
          <w:rFonts w:hint="eastAsia" w:ascii="宋体" w:hAnsi="宋体" w:cs="宋体"/>
          <w:kern w:val="2"/>
          <w:sz w:val="24"/>
          <w:szCs w:val="24"/>
          <w:shd w:val="clear" w:color="auto" w:fill="FFFFFF"/>
          <w:lang w:val="en-US" w:eastAsia="zh-CN" w:bidi="ar-SA"/>
        </w:rPr>
        <w:t>取方式：</w:t>
      </w:r>
      <w:r>
        <w:rPr>
          <w:rFonts w:hint="eastAsia" w:ascii="宋体" w:cs="宋体"/>
          <w:color w:val="000000"/>
          <w:kern w:val="0"/>
          <w:sz w:val="24"/>
          <w:szCs w:val="24"/>
        </w:rPr>
        <w:t>http://www.zjhsjszp.com</w:t>
      </w:r>
      <w:r>
        <w:rPr>
          <w:rFonts w:hint="eastAsia" w:ascii="宋体" w:eastAsia="宋体" w:cs="宋体"/>
          <w:color w:val="000000"/>
          <w:kern w:val="0"/>
          <w:sz w:val="24"/>
          <w:szCs w:val="24"/>
          <w:lang w:eastAsia="zh-CN"/>
        </w:rPr>
        <w:t>。</w:t>
      </w:r>
      <w:r>
        <w:rPr>
          <w:rFonts w:hint="eastAsia" w:ascii="宋体" w:hAnsi="宋体" w:cs="宋体"/>
          <w:kern w:val="2"/>
          <w:sz w:val="24"/>
          <w:szCs w:val="24"/>
          <w:shd w:val="clear" w:color="auto" w:fill="FFFFFF"/>
          <w:lang w:val="en-US" w:eastAsia="zh-CN" w:bidi="ar-SA"/>
        </w:rPr>
        <w:t xml:space="preserve"> </w:t>
      </w:r>
    </w:p>
    <w:p>
      <w:pPr>
        <w:spacing w:after="156" w:afterLines="50" w:line="360" w:lineRule="auto"/>
        <w:jc w:val="center"/>
        <w:rPr>
          <w:rFonts w:hint="eastAsia"/>
          <w:b/>
          <w:sz w:val="28"/>
          <w:szCs w:val="28"/>
        </w:rPr>
      </w:pPr>
      <w:r>
        <w:rPr>
          <w:rFonts w:hint="eastAsia"/>
          <w:b/>
          <w:sz w:val="28"/>
          <w:szCs w:val="28"/>
        </w:rPr>
        <w:t>前  言</w:t>
      </w:r>
    </w:p>
    <w:p>
      <w:pPr>
        <w:spacing w:line="360" w:lineRule="auto"/>
        <w:ind w:firstLine="480" w:firstLineChars="200"/>
        <w:rPr>
          <w:sz w:val="24"/>
        </w:rPr>
      </w:pPr>
      <w:r>
        <w:rPr>
          <w:rFonts w:hint="eastAsia"/>
          <w:sz w:val="24"/>
        </w:rPr>
        <w:t>浙江华晟金属制品有限公司是一家专业研发和生产耐磨高锰钢铸件的企业。坐落在温泉之城，环境怡人的浙江武义。</w:t>
      </w:r>
    </w:p>
    <w:p>
      <w:pPr>
        <w:adjustRightInd w:val="0"/>
        <w:snapToGrid w:val="0"/>
        <w:spacing w:before="156" w:beforeLines="50" w:line="360" w:lineRule="auto"/>
        <w:ind w:firstLine="540"/>
        <w:rPr>
          <w:rFonts w:hint="eastAsia"/>
          <w:sz w:val="24"/>
        </w:rPr>
      </w:pPr>
      <w:r>
        <w:rPr>
          <w:rFonts w:hint="eastAsia"/>
          <w:b/>
          <w:sz w:val="24"/>
        </w:rPr>
        <w:t>职业健康安全、节能环保：</w:t>
      </w:r>
      <w:r>
        <w:rPr>
          <w:rFonts w:hint="eastAsia"/>
          <w:sz w:val="24"/>
        </w:rPr>
        <w:t>公司从厂区规划、工艺设计、选用设备等各个环节，始终专注环保、节能、员工的职业健康安全为首要前提，倡导绿色铸造。以创新来驱动，以质量为中心成为耐磨材料铸造行业的领先企业。</w:t>
      </w:r>
    </w:p>
    <w:p>
      <w:pPr>
        <w:adjustRightInd w:val="0"/>
        <w:snapToGrid w:val="0"/>
        <w:spacing w:before="156" w:beforeLines="50" w:line="360" w:lineRule="auto"/>
        <w:ind w:firstLine="540"/>
        <w:rPr>
          <w:rFonts w:hint="eastAsia"/>
          <w:sz w:val="24"/>
        </w:rPr>
      </w:pPr>
      <w:r>
        <w:rPr>
          <w:rFonts w:hint="eastAsia"/>
          <w:b/>
          <w:sz w:val="24"/>
        </w:rPr>
        <w:t>设备工艺：</w:t>
      </w:r>
      <w:r>
        <w:rPr>
          <w:rFonts w:hint="eastAsia"/>
          <w:sz w:val="24"/>
        </w:rPr>
        <w:t>我们瞄准标杆企业，前沿科技。同福士科铸造材料（中国）有限公司等具有先进制造、环保领先的企业建立了紧密的战略合作伙伴关系，采用先进的酰硬化碱醛树脂工艺，选用一流的加工设备，配备了能全要素检测的先进设备，使各个环节处在受控状态，使产品质量达到发达国家标准，最终形成华晟自己的产品标准，让企业更好地良性循环发展，铸造精品，服务全球。</w:t>
      </w:r>
    </w:p>
    <w:p>
      <w:pPr>
        <w:adjustRightInd w:val="0"/>
        <w:snapToGrid w:val="0"/>
        <w:spacing w:before="156" w:beforeLines="50" w:line="360" w:lineRule="auto"/>
        <w:ind w:firstLine="540"/>
        <w:rPr>
          <w:rFonts w:hint="eastAsia"/>
          <w:b/>
          <w:sz w:val="24"/>
        </w:rPr>
      </w:pPr>
      <w:r>
        <w:rPr>
          <w:rFonts w:hint="eastAsia"/>
          <w:b/>
          <w:sz w:val="24"/>
        </w:rPr>
        <w:t>生产能力：</w:t>
      </w:r>
      <w:r>
        <w:rPr>
          <w:rFonts w:hint="eastAsia"/>
          <w:sz w:val="24"/>
        </w:rPr>
        <w:t>设计年生产能力15000吨，单件产品重量可达10吨。</w:t>
      </w:r>
    </w:p>
    <w:p>
      <w:pPr>
        <w:adjustRightInd w:val="0"/>
        <w:snapToGrid w:val="0"/>
        <w:spacing w:before="156" w:beforeLines="50"/>
        <w:ind w:firstLine="540"/>
        <w:rPr>
          <w:sz w:val="24"/>
        </w:rPr>
      </w:pPr>
      <w:r>
        <w:rPr>
          <w:sz w:val="24"/>
        </w:rPr>
        <w:t>名称：浙江华晟金属制品有限公司</w:t>
      </w:r>
    </w:p>
    <w:p>
      <w:pPr>
        <w:adjustRightInd w:val="0"/>
        <w:snapToGrid w:val="0"/>
        <w:spacing w:before="156" w:beforeLines="50"/>
        <w:ind w:firstLine="540"/>
        <w:rPr>
          <w:sz w:val="24"/>
        </w:rPr>
      </w:pPr>
      <w:r>
        <w:rPr>
          <w:sz w:val="24"/>
        </w:rPr>
        <w:t>地址：中华人民共和国浙江省</w:t>
      </w:r>
      <w:r>
        <w:rPr>
          <w:rFonts w:hint="eastAsia"/>
          <w:sz w:val="24"/>
        </w:rPr>
        <w:t>金华</w:t>
      </w:r>
      <w:r>
        <w:rPr>
          <w:sz w:val="24"/>
        </w:rPr>
        <w:t>市</w:t>
      </w:r>
      <w:r>
        <w:rPr>
          <w:rFonts w:hint="eastAsia"/>
          <w:sz w:val="24"/>
        </w:rPr>
        <w:t>武义县黄龙工业区莹乡路13号</w:t>
      </w:r>
    </w:p>
    <w:p>
      <w:pPr>
        <w:adjustRightInd w:val="0"/>
        <w:snapToGrid w:val="0"/>
        <w:spacing w:before="156" w:beforeLines="50"/>
        <w:ind w:firstLine="540"/>
        <w:rPr>
          <w:rFonts w:hint="eastAsia"/>
          <w:sz w:val="24"/>
        </w:rPr>
      </w:pPr>
      <w:r>
        <w:rPr>
          <w:sz w:val="24"/>
        </w:rPr>
        <w:t>电话：0086-57</w:t>
      </w:r>
      <w:r>
        <w:rPr>
          <w:rFonts w:hint="eastAsia"/>
          <w:sz w:val="24"/>
        </w:rPr>
        <w:t>9</w:t>
      </w:r>
      <w:r>
        <w:rPr>
          <w:sz w:val="24"/>
        </w:rPr>
        <w:t>-</w:t>
      </w:r>
      <w:r>
        <w:rPr>
          <w:rFonts w:hint="eastAsia"/>
          <w:sz w:val="24"/>
        </w:rPr>
        <w:t>87610429</w:t>
      </w:r>
    </w:p>
    <w:p>
      <w:pPr>
        <w:adjustRightInd w:val="0"/>
        <w:snapToGrid w:val="0"/>
        <w:spacing w:before="156" w:beforeLines="50"/>
        <w:ind w:firstLine="540"/>
        <w:rPr>
          <w:sz w:val="24"/>
        </w:rPr>
      </w:pPr>
      <w:r>
        <w:rPr>
          <w:sz w:val="24"/>
        </w:rPr>
        <w:t>传真：0086-57</w:t>
      </w:r>
      <w:r>
        <w:rPr>
          <w:rFonts w:hint="eastAsia"/>
          <w:sz w:val="24"/>
        </w:rPr>
        <w:t>9</w:t>
      </w:r>
      <w:r>
        <w:rPr>
          <w:sz w:val="24"/>
        </w:rPr>
        <w:t>-</w:t>
      </w:r>
      <w:r>
        <w:rPr>
          <w:rFonts w:hint="eastAsia"/>
          <w:sz w:val="24"/>
        </w:rPr>
        <w:t>87610458</w:t>
      </w:r>
    </w:p>
    <w:p>
      <w:pPr>
        <w:adjustRightInd w:val="0"/>
        <w:snapToGrid w:val="0"/>
        <w:spacing w:before="156" w:beforeLines="50"/>
        <w:ind w:firstLine="540"/>
        <w:rPr>
          <w:rFonts w:hint="eastAsia" w:eastAsia="宋体"/>
          <w:sz w:val="24"/>
          <w:lang w:eastAsia="zh-CN"/>
        </w:rPr>
      </w:pPr>
      <w:r>
        <w:rPr>
          <w:rFonts w:hint="eastAsia"/>
          <w:sz w:val="24"/>
        </w:rPr>
        <w:t>网址：</w:t>
      </w:r>
      <w:r>
        <w:rPr>
          <w:rFonts w:hint="eastAsia"/>
          <w:sz w:val="24"/>
        </w:rPr>
        <w:fldChar w:fldCharType="begin"/>
      </w:r>
      <w:r>
        <w:rPr>
          <w:rFonts w:hint="eastAsia"/>
          <w:sz w:val="24"/>
        </w:rPr>
        <w:instrText xml:space="preserve"> HYPERLINK "http://www.zjhsjszp.com。" </w:instrText>
      </w:r>
      <w:r>
        <w:rPr>
          <w:rFonts w:hint="eastAsia"/>
          <w:sz w:val="24"/>
        </w:rPr>
        <w:fldChar w:fldCharType="separate"/>
      </w:r>
      <w:r>
        <w:rPr>
          <w:rStyle w:val="40"/>
          <w:rFonts w:hint="eastAsia"/>
          <w:sz w:val="24"/>
        </w:rPr>
        <w:t>www.zjhsjszp.com</w:t>
      </w:r>
      <w:r>
        <w:rPr>
          <w:rStyle w:val="40"/>
          <w:rFonts w:hint="eastAsia" w:eastAsia="宋体"/>
          <w:sz w:val="24"/>
          <w:lang w:eastAsia="zh-CN"/>
        </w:rPr>
        <w:t>。</w:t>
      </w:r>
      <w:r>
        <w:rPr>
          <w:rFonts w:hint="eastAsia"/>
          <w:sz w:val="24"/>
        </w:rPr>
        <w:fldChar w:fldCharType="end"/>
      </w: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numPr>
          <w:ilvl w:val="0"/>
          <w:numId w:val="1"/>
        </w:numPr>
        <w:spacing w:line="360" w:lineRule="auto"/>
        <w:rPr>
          <w:rFonts w:hint="eastAsia" w:ascii="黑体" w:hAnsi="黑体" w:eastAsia="黑体"/>
          <w:b/>
          <w:sz w:val="28"/>
          <w:szCs w:val="21"/>
        </w:rPr>
      </w:pPr>
      <w:r>
        <w:rPr>
          <w:rFonts w:hint="eastAsia" w:ascii="黑体" w:hAnsi="黑体" w:eastAsia="黑体"/>
          <w:b/>
          <w:sz w:val="28"/>
          <w:szCs w:val="21"/>
        </w:rPr>
        <w:t>注重文化建设的社会责任</w:t>
      </w:r>
    </w:p>
    <w:p>
      <w:pPr>
        <w:spacing w:line="360" w:lineRule="auto"/>
        <w:ind w:left="560" w:firstLine="120" w:firstLineChars="50"/>
        <w:rPr>
          <w:rFonts w:hint="eastAsia" w:ascii="宋体" w:hAnsi="宋体"/>
          <w:sz w:val="24"/>
        </w:rPr>
      </w:pPr>
      <w:r>
        <w:rPr>
          <w:rFonts w:hint="eastAsia" w:ascii="宋体" w:hAnsi="宋体"/>
          <w:sz w:val="24"/>
        </w:rPr>
        <w:t>公司管理层十分重视企业文化建设，提出了公司的价值观和愿景：</w:t>
      </w:r>
    </w:p>
    <w:p>
      <w:pPr>
        <w:spacing w:line="360" w:lineRule="auto"/>
        <w:ind w:left="560" w:firstLine="120" w:firstLineChars="50"/>
        <w:rPr>
          <w:rFonts w:ascii="宋体" w:hAnsi="宋体"/>
          <w:b w:val="0"/>
          <w:bCs w:val="0"/>
          <w:sz w:val="24"/>
        </w:rPr>
      </w:pPr>
      <w:r>
        <w:rPr>
          <w:rFonts w:hint="eastAsia" w:ascii="宋体" w:hAnsi="宋体"/>
          <w:b/>
          <w:sz w:val="24"/>
        </w:rPr>
        <w:t>使命：</w:t>
      </w:r>
      <w:r>
        <w:rPr>
          <w:rFonts w:hint="eastAsia"/>
          <w:b w:val="0"/>
          <w:bCs w:val="0"/>
          <w:kern w:val="0"/>
          <w:sz w:val="24"/>
          <w:szCs w:val="24"/>
        </w:rPr>
        <w:t>“</w:t>
      </w:r>
      <w:r>
        <w:rPr>
          <w:rFonts w:hint="eastAsia" w:ascii="宋体" w:hAnsi="宋体" w:eastAsia="宋体" w:cs="宋体"/>
          <w:color w:val="000000"/>
          <w:kern w:val="0"/>
          <w:sz w:val="21"/>
          <w:szCs w:val="21"/>
          <w:lang w:val="en-US" w:eastAsia="zh-CN" w:bidi="ar"/>
        </w:rPr>
        <w:t>为客户创造价值、为员工创造理想、为股东创造效益、为社会创造福祉</w:t>
      </w:r>
      <w:r>
        <w:rPr>
          <w:rFonts w:hint="eastAsia"/>
          <w:b w:val="0"/>
          <w:bCs w:val="0"/>
          <w:kern w:val="0"/>
          <w:sz w:val="24"/>
          <w:szCs w:val="24"/>
        </w:rPr>
        <w:t>”</w:t>
      </w:r>
    </w:p>
    <w:p>
      <w:pPr>
        <w:spacing w:line="360" w:lineRule="auto"/>
        <w:ind w:left="560" w:firstLine="114" w:firstLineChars="50"/>
        <w:rPr>
          <w:rFonts w:ascii="宋体" w:hAnsi="宋体"/>
          <w:bCs/>
          <w:sz w:val="24"/>
        </w:rPr>
      </w:pPr>
      <w:r>
        <w:rPr>
          <w:rFonts w:hint="eastAsia" w:ascii="宋体" w:hAnsi="宋体"/>
          <w:b/>
          <w:spacing w:val="-6"/>
          <w:sz w:val="24"/>
        </w:rPr>
        <w:t>愿景：</w:t>
      </w:r>
      <w:r>
        <w:rPr>
          <w:rFonts w:hint="eastAsia"/>
          <w:b w:val="0"/>
          <w:bCs w:val="0"/>
          <w:kern w:val="0"/>
          <w:sz w:val="24"/>
          <w:szCs w:val="24"/>
        </w:rPr>
        <w:t>“</w:t>
      </w:r>
      <w:r>
        <w:rPr>
          <w:rFonts w:hint="eastAsia" w:ascii="宋体" w:hAnsi="宋体" w:eastAsia="宋体" w:cs="宋体"/>
          <w:color w:val="000000"/>
          <w:kern w:val="0"/>
          <w:sz w:val="21"/>
          <w:szCs w:val="21"/>
          <w:lang w:val="en-US" w:eastAsia="zh-CN" w:bidi="ar"/>
        </w:rPr>
        <w:t>成为耐磨材料铸造行业的领先企业</w:t>
      </w:r>
      <w:r>
        <w:rPr>
          <w:rFonts w:hint="eastAsia"/>
          <w:b w:val="0"/>
          <w:bCs w:val="0"/>
          <w:kern w:val="0"/>
          <w:sz w:val="24"/>
          <w:szCs w:val="24"/>
        </w:rPr>
        <w:t>”</w:t>
      </w:r>
    </w:p>
    <w:p>
      <w:pPr>
        <w:spacing w:line="360" w:lineRule="auto"/>
        <w:ind w:left="560" w:firstLine="120" w:firstLineChars="50"/>
        <w:rPr>
          <w:rFonts w:hint="eastAsia"/>
          <w:b/>
          <w:bCs/>
          <w:kern w:val="0"/>
          <w:sz w:val="24"/>
          <w:szCs w:val="24"/>
          <w:lang w:val="en-US" w:eastAsia="zh-CN"/>
        </w:rPr>
      </w:pPr>
      <w:r>
        <w:rPr>
          <w:rFonts w:hint="eastAsia" w:ascii="宋体" w:hAnsi="宋体"/>
          <w:b/>
          <w:kern w:val="0"/>
          <w:sz w:val="24"/>
        </w:rPr>
        <w:t>核心价值观：</w:t>
      </w:r>
      <w:r>
        <w:rPr>
          <w:rFonts w:hint="eastAsia"/>
          <w:b w:val="0"/>
          <w:bCs w:val="0"/>
          <w:kern w:val="0"/>
          <w:sz w:val="24"/>
          <w:szCs w:val="24"/>
          <w:lang w:val="en-US" w:eastAsia="zh-CN"/>
        </w:rPr>
        <w:t>“</w:t>
      </w:r>
      <w:r>
        <w:rPr>
          <w:rFonts w:hint="eastAsia" w:ascii="宋体" w:hAnsi="宋体" w:eastAsia="宋体" w:cs="宋体"/>
          <w:color w:val="000000"/>
          <w:kern w:val="0"/>
          <w:sz w:val="21"/>
          <w:szCs w:val="21"/>
          <w:lang w:val="en-US" w:eastAsia="zh-CN" w:bidi="ar"/>
        </w:rPr>
        <w:t>共同发展，实现双赢</w:t>
      </w:r>
      <w:r>
        <w:rPr>
          <w:rFonts w:hint="eastAsia"/>
          <w:b w:val="0"/>
          <w:bCs w:val="0"/>
          <w:kern w:val="0"/>
          <w:sz w:val="24"/>
          <w:szCs w:val="24"/>
          <w:lang w:val="en-US" w:eastAsia="zh-CN"/>
        </w:rPr>
        <w:t>”</w:t>
      </w:r>
    </w:p>
    <w:p>
      <w:pPr>
        <w:spacing w:line="360" w:lineRule="auto"/>
        <w:ind w:left="560" w:firstLine="120" w:firstLineChars="50"/>
        <w:rPr>
          <w:rFonts w:hint="eastAsia" w:ascii="华文琥珀" w:eastAsia="华文琥珀"/>
          <w:kern w:val="0"/>
          <w:sz w:val="24"/>
          <w:szCs w:val="24"/>
          <w:lang w:val="en-US" w:eastAsia="zh-CN"/>
        </w:rPr>
      </w:pPr>
      <w:r>
        <w:rPr>
          <w:rFonts w:hint="eastAsia" w:ascii="宋体" w:hAnsi="宋体"/>
          <w:b/>
          <w:kern w:val="0"/>
          <w:sz w:val="24"/>
        </w:rPr>
        <w:t>质量方针：</w:t>
      </w:r>
      <w:r>
        <w:rPr>
          <w:rFonts w:hint="eastAsia" w:ascii="华文琥珀" w:eastAsia="华文琥珀"/>
          <w:kern w:val="0"/>
          <w:sz w:val="24"/>
          <w:szCs w:val="24"/>
          <w:lang w:val="en-US" w:eastAsia="zh-CN"/>
        </w:rPr>
        <w:t>“安全守法，科学管理；优质服务，和谐发展”</w:t>
      </w:r>
    </w:p>
    <w:p>
      <w:pPr>
        <w:spacing w:line="360" w:lineRule="auto"/>
        <w:ind w:left="560" w:firstLine="120" w:firstLineChars="50"/>
        <w:rPr>
          <w:rFonts w:hint="eastAsia" w:ascii="华文琥珀" w:eastAsia="华文琥珀"/>
          <w:kern w:val="0"/>
          <w:sz w:val="24"/>
          <w:szCs w:val="24"/>
          <w:lang w:val="en-US" w:eastAsia="zh-CN"/>
        </w:rPr>
      </w:pPr>
      <w:r>
        <w:rPr>
          <w:rFonts w:hint="eastAsia" w:ascii="宋体" w:hAnsi="宋体" w:eastAsia="Calibri" w:cs="Times New Roman"/>
          <w:b/>
          <w:kern w:val="0"/>
          <w:sz w:val="24"/>
          <w:lang w:val="en-US" w:eastAsia="zh-CN"/>
        </w:rPr>
        <w:t>环境方针：</w:t>
      </w:r>
      <w:r>
        <w:rPr>
          <w:rFonts w:hint="eastAsia" w:ascii="华文琥珀" w:eastAsia="华文琥珀"/>
          <w:kern w:val="0"/>
          <w:sz w:val="24"/>
          <w:szCs w:val="24"/>
          <w:lang w:val="en-US" w:eastAsia="zh-CN"/>
        </w:rPr>
        <w:t>“</w:t>
      </w:r>
      <w:r>
        <w:rPr>
          <w:rFonts w:hint="eastAsia" w:ascii="华文琥珀" w:eastAsia="华文琥珀"/>
          <w:kern w:val="0"/>
          <w:sz w:val="24"/>
          <w:szCs w:val="24"/>
        </w:rPr>
        <w:t>遵守法规、严格标准、预防污染、安全运行</w:t>
      </w:r>
      <w:r>
        <w:rPr>
          <w:rFonts w:hint="eastAsia" w:ascii="华文琥珀" w:eastAsia="华文琥珀"/>
          <w:kern w:val="0"/>
          <w:sz w:val="24"/>
          <w:szCs w:val="24"/>
          <w:lang w:val="en-US" w:eastAsia="zh-CN"/>
        </w:rPr>
        <w:t>”</w:t>
      </w:r>
    </w:p>
    <w:p>
      <w:pPr>
        <w:spacing w:line="360" w:lineRule="auto"/>
        <w:ind w:left="560" w:firstLine="120" w:firstLineChars="50"/>
        <w:rPr>
          <w:rFonts w:hint="eastAsia" w:ascii="华文琥珀" w:eastAsia="华文琥珀"/>
          <w:kern w:val="0"/>
          <w:sz w:val="24"/>
          <w:szCs w:val="24"/>
          <w:lang w:val="en-US" w:eastAsia="zh-CN"/>
        </w:rPr>
      </w:pPr>
      <w:r>
        <w:rPr>
          <w:rFonts w:hint="eastAsia" w:ascii="宋体" w:hAnsi="宋体" w:eastAsia="Calibri" w:cs="Times New Roman"/>
          <w:b/>
          <w:kern w:val="0"/>
          <w:sz w:val="24"/>
          <w:lang w:val="en-US" w:eastAsia="zh-CN"/>
        </w:rPr>
        <w:t>职业健康安全方针：</w:t>
      </w:r>
      <w:r>
        <w:rPr>
          <w:rFonts w:hint="eastAsia" w:ascii="华文琥珀" w:eastAsia="华文琥珀"/>
          <w:kern w:val="0"/>
          <w:sz w:val="24"/>
          <w:szCs w:val="24"/>
          <w:lang w:eastAsia="zh-CN"/>
        </w:rPr>
        <w:t>“</w:t>
      </w:r>
      <w:r>
        <w:rPr>
          <w:rFonts w:hint="eastAsia" w:ascii="华文琥珀" w:eastAsia="华文琥珀"/>
          <w:kern w:val="0"/>
          <w:sz w:val="24"/>
          <w:szCs w:val="24"/>
        </w:rPr>
        <w:t>以人为本、安全第一，预防为主，文明健康</w:t>
      </w:r>
      <w:r>
        <w:rPr>
          <w:rFonts w:hint="eastAsia" w:ascii="华文琥珀" w:eastAsia="华文琥珀"/>
          <w:kern w:val="0"/>
          <w:sz w:val="24"/>
          <w:szCs w:val="24"/>
          <w:lang w:eastAsia="zh-CN"/>
        </w:rPr>
        <w:t>”</w:t>
      </w:r>
    </w:p>
    <w:p>
      <w:pPr>
        <w:spacing w:line="360" w:lineRule="auto"/>
        <w:ind w:firstLine="600" w:firstLineChars="250"/>
        <w:rPr>
          <w:rFonts w:ascii="宋体" w:hAnsi="宋体"/>
          <w:sz w:val="24"/>
        </w:rPr>
      </w:pPr>
      <w:r>
        <w:rPr>
          <w:rFonts w:hint="eastAsia" w:ascii="宋体" w:hAnsi="宋体"/>
          <w:sz w:val="24"/>
        </w:rPr>
        <w:t>公司营造良好的沟通氛围，通过设置总经理信箱、开展合理化建议活动等，广泛听取各层面员工的意见或建议，保持组织内部沟通顺畅；通过展会、洽谈会、研讨会、走访等多种形式，倾听顾客、供方等相关方的意见及建议。公司领导倡导“无障碍沟通”，建立了互动双向沟通机制，多渠道听取员工及其他相关方要求，多种方式实现不同部门、不同职位、不同地区间的有效沟通，如下</w:t>
      </w:r>
      <w:r>
        <w:rPr>
          <w:rFonts w:hint="eastAsia" w:ascii="宋体" w:hAnsi="宋体"/>
          <w:kern w:val="0"/>
          <w:sz w:val="24"/>
        </w:rPr>
        <w:t>图表所示</w:t>
      </w:r>
      <w:r>
        <w:rPr>
          <w:rFonts w:hint="eastAsia" w:ascii="宋体" w:hAnsi="宋体"/>
          <w:sz w:val="24"/>
        </w:rPr>
        <w:t>。</w:t>
      </w:r>
    </w:p>
    <w:tbl>
      <w:tblPr>
        <w:tblStyle w:val="35"/>
        <w:tblW w:w="0" w:type="auto"/>
        <w:tblInd w:w="108" w:type="dxa"/>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0" w:type="dxa"/>
          <w:left w:w="108" w:type="dxa"/>
          <w:bottom w:w="0" w:type="dxa"/>
          <w:right w:w="108" w:type="dxa"/>
        </w:tblCellMar>
      </w:tblPr>
      <w:tblGrid>
        <w:gridCol w:w="1200"/>
        <w:gridCol w:w="7020"/>
        <w:gridCol w:w="1200"/>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55" w:hRule="atLeast"/>
        </w:trPr>
        <w:tc>
          <w:tcPr>
            <w:tcW w:w="1200" w:type="dxa"/>
            <w:tcBorders>
              <w:tl2br w:val="nil"/>
              <w:tr2bl w:val="nil"/>
            </w:tcBorders>
            <w:shd w:val="clear" w:color="000000" w:fill="auto"/>
            <w:noWrap w:val="0"/>
            <w:vAlign w:val="center"/>
          </w:tcPr>
          <w:p>
            <w:pPr>
              <w:widowControl/>
              <w:jc w:val="center"/>
              <w:rPr>
                <w:rFonts w:ascii="宋体" w:hAnsi="宋体" w:cs="Courier New"/>
                <w:b/>
                <w:color w:val="auto"/>
                <w:kern w:val="0"/>
                <w:szCs w:val="21"/>
              </w:rPr>
            </w:pPr>
            <w:r>
              <w:rPr>
                <w:rFonts w:hint="eastAsia" w:ascii="宋体" w:hAnsi="宋体" w:cs="Courier New"/>
                <w:b/>
                <w:color w:val="auto"/>
                <w:kern w:val="0"/>
                <w:szCs w:val="21"/>
              </w:rPr>
              <w:t>沟通对象</w:t>
            </w:r>
          </w:p>
        </w:tc>
        <w:tc>
          <w:tcPr>
            <w:tcW w:w="7020" w:type="dxa"/>
            <w:tcBorders>
              <w:tl2br w:val="nil"/>
              <w:tr2bl w:val="nil"/>
            </w:tcBorders>
            <w:shd w:val="clear" w:color="000000" w:fill="auto"/>
            <w:noWrap w:val="0"/>
            <w:vAlign w:val="center"/>
          </w:tcPr>
          <w:p>
            <w:pPr>
              <w:widowControl/>
              <w:jc w:val="center"/>
              <w:rPr>
                <w:rFonts w:hint="eastAsia" w:ascii="宋体" w:hAnsi="宋体" w:cs="Courier New"/>
                <w:b/>
                <w:color w:val="auto"/>
                <w:kern w:val="0"/>
                <w:szCs w:val="21"/>
              </w:rPr>
            </w:pPr>
            <w:r>
              <w:rPr>
                <w:rFonts w:hint="eastAsia" w:ascii="宋体" w:hAnsi="宋体" w:cs="Courier New"/>
                <w:b/>
                <w:color w:val="auto"/>
                <w:kern w:val="0"/>
                <w:szCs w:val="21"/>
              </w:rPr>
              <w:t>传播方式渠道</w:t>
            </w:r>
          </w:p>
        </w:tc>
        <w:tc>
          <w:tcPr>
            <w:tcW w:w="1200" w:type="dxa"/>
            <w:tcBorders>
              <w:tl2br w:val="nil"/>
              <w:tr2bl w:val="nil"/>
            </w:tcBorders>
            <w:shd w:val="clear" w:color="000000" w:fill="auto"/>
            <w:noWrap w:val="0"/>
            <w:vAlign w:val="center"/>
          </w:tcPr>
          <w:p>
            <w:pPr>
              <w:widowControl/>
              <w:jc w:val="center"/>
              <w:rPr>
                <w:rFonts w:hint="eastAsia" w:ascii="宋体" w:hAnsi="宋体" w:cs="Courier New"/>
                <w:b/>
                <w:color w:val="auto"/>
                <w:kern w:val="0"/>
                <w:szCs w:val="21"/>
              </w:rPr>
            </w:pPr>
            <w:r>
              <w:rPr>
                <w:rFonts w:hint="eastAsia" w:ascii="宋体" w:hAnsi="宋体" w:cs="Courier New"/>
                <w:b/>
                <w:color w:val="auto"/>
                <w:kern w:val="0"/>
                <w:szCs w:val="21"/>
              </w:rPr>
              <w:t>沟通方式</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restart"/>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员工</w:t>
            </w: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拓展训练、入职培训、在职培训、专业培训、选拔培训等</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员工参与</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《员工手册》、官网、微信公众号、文件、文化墙、宣传栏、宣传片等</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潜移默化</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微信公众号、内线电话、OA系统、电子邮件系统、总经理信箱</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双向沟通</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读书交流会、迎春文艺汇演、团拜晚宴、劳动综合技能竞赛、安全知识竞赛、中秋联谊活动、运动会、篮球赛、乒乓球赛等各类文体活动</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员工参与</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优秀员工、合理化建议奖、年终总结大会及先进表彰大会等</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榜样激励</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职工代表大会、员工座谈会、先进事迹座谈会、早会、月度例会、专题研讨会、年度总结表彰大会、员工满意度调查、党支部会议、团委年会</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交流座谈</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85" w:hRule="atLeast"/>
        </w:trPr>
        <w:tc>
          <w:tcPr>
            <w:tcW w:w="1200" w:type="dxa"/>
            <w:vMerge w:val="restart"/>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顾客</w:t>
            </w: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公司官方网站、企业宣传册、产品手册、广告片、展览会、传真、电子邮件</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传播、反馈</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高层互访、供应商联合体会议、参加客户的供应商年会、专题交流会议、信息化系统</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双向沟通</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股东</w:t>
            </w: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股东大会、个别沟通、新闻媒体、网站、报刊、投资者关系专线</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双向沟通</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供应商</w:t>
            </w: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年度供应商大会、供应商座谈会、优秀供应商评选、供应商满意度调查、采购展会、实地考察、电话沟通、电子邮件、合同协议</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双向沟通</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政府</w:t>
            </w:r>
          </w:p>
        </w:tc>
        <w:tc>
          <w:tcPr>
            <w:tcW w:w="7020" w:type="dxa"/>
            <w:vMerge w:val="restart"/>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工作汇报、参观指导、公益活动、慈善捐赠、结对扶贫、企业网站、重大事项公告、企业刊物、宣传册、宣传</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传播为主</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trHeight w:val="585" w:hRule="atLeast"/>
        </w:trPr>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公众</w:t>
            </w:r>
          </w:p>
        </w:tc>
        <w:tc>
          <w:tcPr>
            <w:tcW w:w="702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注重反馈</w:t>
            </w:r>
          </w:p>
        </w:tc>
      </w:tr>
    </w:tbl>
    <w:p>
      <w:pPr>
        <w:spacing w:line="360" w:lineRule="auto"/>
        <w:jc w:val="center"/>
        <w:rPr>
          <w:rFonts w:hint="eastAsia" w:ascii="宋体" w:hAnsi="宋体"/>
          <w:b/>
          <w:szCs w:val="21"/>
          <w:lang/>
        </w:rPr>
      </w:pPr>
      <w:r>
        <w:rPr>
          <w:rFonts w:hint="eastAsia" w:ascii="宋体" w:hAnsi="宋体" w:eastAsia="宋体"/>
          <w:b/>
          <w:szCs w:val="21"/>
          <w:lang w:val="en-US" w:eastAsia="zh-CN"/>
        </w:rPr>
        <w:t>公司</w:t>
      </w:r>
      <w:r>
        <w:rPr>
          <w:rFonts w:hint="eastAsia" w:ascii="宋体" w:hAnsi="宋体"/>
          <w:b/>
          <w:szCs w:val="21"/>
        </w:rPr>
        <w:t>各类文化</w:t>
      </w:r>
      <w:r>
        <w:rPr>
          <w:rFonts w:hint="eastAsia" w:ascii="宋体" w:hAnsi="宋体" w:eastAsia="宋体"/>
          <w:b/>
          <w:szCs w:val="21"/>
          <w:lang w:eastAsia="zh-CN"/>
        </w:rPr>
        <w:t>、</w:t>
      </w:r>
      <w:r>
        <w:rPr>
          <w:rFonts w:hint="eastAsia" w:ascii="宋体" w:hAnsi="宋体" w:eastAsia="宋体"/>
          <w:b/>
          <w:szCs w:val="21"/>
          <w:lang w:val="en-US" w:eastAsia="zh-CN"/>
        </w:rPr>
        <w:t>技能</w:t>
      </w:r>
      <w:r>
        <w:rPr>
          <w:rFonts w:hint="eastAsia" w:ascii="宋体" w:hAnsi="宋体"/>
          <w:b/>
          <w:szCs w:val="21"/>
        </w:rPr>
        <w:t>活动</w:t>
      </w:r>
    </w:p>
    <w:p>
      <w:pPr>
        <w:spacing w:line="360" w:lineRule="auto"/>
        <w:jc w:val="left"/>
        <w:rPr>
          <w:rFonts w:ascii="宋体" w:hAnsi="宋体" w:cs="宋体"/>
          <w:sz w:val="24"/>
          <w:szCs w:val="24"/>
        </w:rPr>
      </w:pPr>
      <w:r>
        <w:rPr>
          <w:rFonts w:hint="eastAsia" w:ascii="宋体" w:hAnsi="宋体"/>
          <w:lang w:val="en-US" w:eastAsia="zh-CN"/>
        </w:rPr>
        <w:t xml:space="preserve"> </w:t>
      </w:r>
      <w:r>
        <w:rPr>
          <w:rFonts w:ascii="宋体" w:hAnsi="宋体" w:cs="宋体"/>
          <w:sz w:val="24"/>
          <w:szCs w:val="24"/>
        </w:rPr>
        <w:drawing>
          <wp:inline distT="0" distB="0" distL="114300" distR="114300">
            <wp:extent cx="2919095" cy="1633220"/>
            <wp:effectExtent l="0" t="0" r="14605" b="5080"/>
            <wp:docPr id="2" name="图片 20" descr="&amp;pfm122&amp;"/>
            <wp:cNvGraphicFramePr/>
            <a:graphic xmlns:a="http://schemas.openxmlformats.org/drawingml/2006/main">
              <a:graphicData uri="http://schemas.openxmlformats.org/drawingml/2006/picture">
                <pic:pic xmlns:pic="http://schemas.openxmlformats.org/drawingml/2006/picture">
                  <pic:nvPicPr>
                    <pic:cNvPr id="2" name="图片 20" descr="&amp;pfm122&amp;"/>
                    <pic:cNvPicPr/>
                  </pic:nvPicPr>
                  <pic:blipFill>
                    <a:blip r:embed="rId6"/>
                    <a:stretch>
                      <a:fillRect/>
                    </a:stretch>
                  </pic:blipFill>
                  <pic:spPr>
                    <a:xfrm>
                      <a:off x="0" y="0"/>
                      <a:ext cx="2919095" cy="1633220"/>
                    </a:xfrm>
                    <a:prstGeom prst="rect">
                      <a:avLst/>
                    </a:prstGeom>
                    <a:noFill/>
                    <a:ln>
                      <a:noFill/>
                    </a:ln>
                  </pic:spPr>
                </pic:pic>
              </a:graphicData>
            </a:graphic>
          </wp:inline>
        </w:drawing>
      </w:r>
      <w:r>
        <w:rPr>
          <w:rFonts w:ascii="宋体" w:hAnsi="宋体" w:cs="宋体"/>
          <w:sz w:val="24"/>
          <w:szCs w:val="24"/>
        </w:rPr>
        <w:drawing>
          <wp:inline distT="0" distB="0" distL="114300" distR="114300">
            <wp:extent cx="2753360" cy="1659890"/>
            <wp:effectExtent l="0" t="0" r="8890" b="16510"/>
            <wp:docPr id="3" name="图片 24" descr="&amp;pfm122&amp;"/>
            <wp:cNvGraphicFramePr/>
            <a:graphic xmlns:a="http://schemas.openxmlformats.org/drawingml/2006/main">
              <a:graphicData uri="http://schemas.openxmlformats.org/drawingml/2006/picture">
                <pic:pic xmlns:pic="http://schemas.openxmlformats.org/drawingml/2006/picture">
                  <pic:nvPicPr>
                    <pic:cNvPr id="3" name="图片 24" descr="&amp;pfm122&amp;"/>
                    <pic:cNvPicPr/>
                  </pic:nvPicPr>
                  <pic:blipFill>
                    <a:blip r:embed="rId7"/>
                    <a:stretch>
                      <a:fillRect/>
                    </a:stretch>
                  </pic:blipFill>
                  <pic:spPr>
                    <a:xfrm>
                      <a:off x="0" y="0"/>
                      <a:ext cx="2753360" cy="1659890"/>
                    </a:xfrm>
                    <a:prstGeom prst="rect">
                      <a:avLst/>
                    </a:prstGeom>
                    <a:noFill/>
                    <a:ln>
                      <a:noFill/>
                    </a:ln>
                  </pic:spPr>
                </pic:pic>
              </a:graphicData>
            </a:graphic>
          </wp:inline>
        </w:drawing>
      </w:r>
    </w:p>
    <w:p>
      <w:pPr>
        <w:spacing w:line="360" w:lineRule="auto"/>
        <w:jc w:val="left"/>
        <w:rPr>
          <w:rFonts w:ascii="宋体" w:hAnsi="宋体" w:cs="宋体"/>
          <w:sz w:val="24"/>
          <w:szCs w:val="24"/>
          <w:lang w:eastAsia="zh-CN"/>
        </w:rPr>
      </w:pPr>
      <w:r>
        <w:rPr>
          <w:rFonts w:ascii="宋体" w:hAnsi="宋体" w:cs="宋体"/>
          <w:sz w:val="24"/>
          <w:szCs w:val="24"/>
        </w:rPr>
        <w:drawing>
          <wp:inline distT="0" distB="0" distL="114300" distR="114300">
            <wp:extent cx="2981325" cy="1560830"/>
            <wp:effectExtent l="0" t="0" r="9525" b="1270"/>
            <wp:docPr id="4" name="图片 22" descr="&amp;pfm122&amp;"/>
            <wp:cNvGraphicFramePr/>
            <a:graphic xmlns:a="http://schemas.openxmlformats.org/drawingml/2006/main">
              <a:graphicData uri="http://schemas.openxmlformats.org/drawingml/2006/picture">
                <pic:pic xmlns:pic="http://schemas.openxmlformats.org/drawingml/2006/picture">
                  <pic:nvPicPr>
                    <pic:cNvPr id="4" name="图片 22" descr="&amp;pfm122&amp;"/>
                    <pic:cNvPicPr/>
                  </pic:nvPicPr>
                  <pic:blipFill>
                    <a:blip r:embed="rId8"/>
                    <a:stretch>
                      <a:fillRect/>
                    </a:stretch>
                  </pic:blipFill>
                  <pic:spPr>
                    <a:xfrm>
                      <a:off x="0" y="0"/>
                      <a:ext cx="2981325" cy="1560830"/>
                    </a:xfrm>
                    <a:prstGeom prst="rect">
                      <a:avLst/>
                    </a:prstGeom>
                    <a:noFill/>
                    <a:ln>
                      <a:noFill/>
                    </a:ln>
                  </pic:spPr>
                </pic:pic>
              </a:graphicData>
            </a:graphic>
          </wp:inline>
        </w:drawing>
      </w:r>
      <w:r>
        <w:rPr>
          <w:rFonts w:ascii="宋体" w:hAnsi="宋体" w:cs="宋体"/>
          <w:sz w:val="24"/>
          <w:szCs w:val="24"/>
        </w:rPr>
        <w:drawing>
          <wp:inline distT="0" distB="0" distL="114300" distR="114300">
            <wp:extent cx="2750820" cy="1665605"/>
            <wp:effectExtent l="0" t="0" r="11430" b="10795"/>
            <wp:docPr id="1" name="图片 25" descr="&amp;pfm122&amp;"/>
            <wp:cNvGraphicFramePr/>
            <a:graphic xmlns:a="http://schemas.openxmlformats.org/drawingml/2006/main">
              <a:graphicData uri="http://schemas.openxmlformats.org/drawingml/2006/picture">
                <pic:pic xmlns:pic="http://schemas.openxmlformats.org/drawingml/2006/picture">
                  <pic:nvPicPr>
                    <pic:cNvPr id="1" name="图片 25" descr="&amp;pfm122&amp;"/>
                    <pic:cNvPicPr>
                      <a:picLocks noRot="1"/>
                    </pic:cNvPicPr>
                  </pic:nvPicPr>
                  <pic:blipFill>
                    <a:blip r:embed="rId9"/>
                    <a:stretch>
                      <a:fillRect/>
                    </a:stretch>
                  </pic:blipFill>
                  <pic:spPr>
                    <a:xfrm>
                      <a:off x="0" y="0"/>
                      <a:ext cx="2750820" cy="1665605"/>
                    </a:xfrm>
                    <a:prstGeom prst="rect">
                      <a:avLst/>
                    </a:prstGeom>
                    <a:noFill/>
                    <a:ln>
                      <a:noFill/>
                    </a:ln>
                  </pic:spPr>
                </pic:pic>
              </a:graphicData>
            </a:graphic>
          </wp:inline>
        </w:drawing>
      </w:r>
    </w:p>
    <w:p>
      <w:pPr>
        <w:spacing w:line="360" w:lineRule="auto"/>
        <w:jc w:val="left"/>
        <w:rPr>
          <w:rFonts w:hint="eastAsia" w:ascii="黑体" w:hAnsi="黑体" w:eastAsia="黑体"/>
          <w:b/>
          <w:sz w:val="28"/>
          <w:szCs w:val="21"/>
        </w:rPr>
      </w:pPr>
      <w:r>
        <w:rPr>
          <w:rFonts w:hint="eastAsia" w:ascii="宋体" w:hAnsi="宋体"/>
          <w:lang w:val="en-US" w:eastAsia="zh-CN"/>
        </w:rPr>
        <w:t xml:space="preserve"> </w:t>
      </w:r>
      <w:r>
        <w:rPr>
          <w:rFonts w:hint="eastAsia" w:ascii="黑体" w:hAnsi="黑体" w:eastAsia="黑体"/>
          <w:b/>
          <w:sz w:val="28"/>
          <w:szCs w:val="21"/>
        </w:rPr>
        <w:t>二、追求高质量产品和服务的社会责任</w:t>
      </w:r>
    </w:p>
    <w:p>
      <w:pPr>
        <w:spacing w:line="360" w:lineRule="auto"/>
        <w:ind w:firstLine="553"/>
        <w:rPr>
          <w:rFonts w:hint="eastAsia" w:ascii="宋体" w:hAnsi="宋体"/>
          <w:sz w:val="24"/>
        </w:rPr>
      </w:pPr>
      <w:r>
        <w:rPr>
          <w:rFonts w:hint="eastAsia" w:ascii="宋体" w:hAnsi="宋体"/>
          <w:sz w:val="24"/>
        </w:rPr>
        <w:t>公司认为，企业最大的社会责任，是为顾客提供高质量的产品和服务，这个信念始终贯穿企业经营的始终。近年来，质量越来越引起社会和公众的关注，在政府的发展规划中也越来越频繁地提出相关要求，如国务院＂关于开展质量提升行动的指导意见＂等。在外部环境发生深刻变化的背景下，公司持续推进质量提升行动，加强过程质量管控，推进供应商质量管理、完善客户投诉与服务体系建设，通过创新的科技和完善的服务，为顾客创造价值，是企业的首要社会责任。</w:t>
      </w:r>
    </w:p>
    <w:p>
      <w:pPr>
        <w:spacing w:line="360" w:lineRule="auto"/>
        <w:ind w:firstLine="553"/>
        <w:rPr>
          <w:rFonts w:hint="eastAsia" w:ascii="宋体" w:hAnsi="宋体"/>
          <w:sz w:val="24"/>
        </w:rPr>
      </w:pPr>
      <w:r>
        <w:rPr>
          <w:rFonts w:hint="eastAsia" w:ascii="宋体" w:hAnsi="宋体"/>
          <w:sz w:val="24"/>
        </w:rPr>
        <w:t>公司先后通过了ISO9001质量管理体系、ISO14001：2015环境管理体系和“ISO</w:t>
      </w:r>
      <w:r>
        <w:rPr>
          <w:rFonts w:hint="eastAsia" w:ascii="宋体" w:hAnsi="宋体" w:eastAsia="宋体"/>
          <w:sz w:val="24"/>
          <w:lang w:val="en-US" w:eastAsia="zh-CN"/>
        </w:rPr>
        <w:t>45</w:t>
      </w:r>
      <w:r>
        <w:rPr>
          <w:rFonts w:hint="eastAsia" w:ascii="宋体" w:hAnsi="宋体"/>
          <w:sz w:val="24"/>
        </w:rPr>
        <w:t>001：201</w:t>
      </w:r>
      <w:r>
        <w:rPr>
          <w:rFonts w:hint="eastAsia" w:ascii="宋体" w:hAnsi="宋体" w:eastAsia="宋体"/>
          <w:sz w:val="24"/>
          <w:lang w:val="en-US" w:eastAsia="zh-CN"/>
        </w:rPr>
        <w:t>8</w:t>
      </w:r>
      <w:r>
        <w:rPr>
          <w:rFonts w:hint="eastAsia" w:ascii="宋体" w:hAnsi="宋体"/>
          <w:sz w:val="24"/>
        </w:rPr>
        <w:t>”认证。20</w:t>
      </w:r>
      <w:r>
        <w:rPr>
          <w:rFonts w:hint="eastAsia" w:ascii="宋体" w:hAnsi="宋体" w:eastAsia="宋体"/>
          <w:sz w:val="24"/>
          <w:lang w:val="en-US" w:eastAsia="zh-CN"/>
        </w:rPr>
        <w:t>20</w:t>
      </w:r>
      <w:r>
        <w:rPr>
          <w:rFonts w:hint="eastAsia" w:ascii="宋体" w:hAnsi="宋体"/>
          <w:sz w:val="24"/>
        </w:rPr>
        <w:t>年成功导入卓越绩效模式，并积极参加市政府质量奖评选。管理体系和标准的持续完善，确保了体系运行的的全面性、持续性和有效性，为产品质量水平的稳定与提升奠定了良好的基础。</w:t>
      </w:r>
    </w:p>
    <w:p>
      <w:pPr>
        <w:pStyle w:val="12"/>
        <w:adjustRightInd w:val="0"/>
        <w:spacing w:after="0" w:line="360" w:lineRule="auto"/>
        <w:ind w:left="0" w:leftChars="0" w:firstLine="480" w:firstLineChars="200"/>
        <w:rPr>
          <w:rFonts w:ascii="宋体" w:hAnsi="宋体"/>
          <w:sz w:val="24"/>
        </w:rPr>
      </w:pPr>
      <w:r>
        <w:rPr>
          <w:rFonts w:hint="eastAsia" w:ascii="宋体" w:hAnsi="宋体"/>
          <w:sz w:val="24"/>
        </w:rPr>
        <w:t>为履行</w:t>
      </w:r>
      <w:r>
        <w:rPr>
          <w:rFonts w:hint="eastAsia" w:ascii="宋体" w:hAnsi="宋体"/>
          <w:sz w:val="24"/>
          <w:lang w:val="en-US" w:eastAsia="zh-CN"/>
        </w:rPr>
        <w:t>产品质量安全职责，</w:t>
      </w:r>
      <w:r>
        <w:rPr>
          <w:rFonts w:hint="eastAsia" w:ascii="宋体" w:hAnsi="宋体"/>
          <w:sz w:val="24"/>
        </w:rPr>
        <w:t>确保组织所提供产品和服务的质量安全，</w:t>
      </w:r>
      <w:r>
        <w:rPr>
          <w:rFonts w:ascii="宋体" w:hAnsi="宋体"/>
          <w:sz w:val="24"/>
        </w:rPr>
        <w:t>公司高度重视质量管理体系的建设，在对产品质量进行严格把关，并满足各项标准指标的同时，建立了完善的质量管理体系。</w:t>
      </w:r>
    </w:p>
    <w:p>
      <w:pPr>
        <w:pStyle w:val="12"/>
        <w:adjustRightInd w:val="0"/>
        <w:spacing w:after="0" w:line="360" w:lineRule="auto"/>
        <w:ind w:left="0" w:leftChars="0" w:firstLine="480" w:firstLineChars="200"/>
        <w:rPr>
          <w:rFonts w:ascii="宋体" w:hAnsi="宋体"/>
          <w:sz w:val="24"/>
        </w:rPr>
      </w:pPr>
      <w:r>
        <w:rPr>
          <w:rFonts w:ascii="宋体" w:hAnsi="宋体"/>
          <w:sz w:val="24"/>
        </w:rPr>
        <w:t>目前公司已制定了</w:t>
      </w:r>
      <w:r>
        <w:rPr>
          <w:rFonts w:hint="eastAsia" w:ascii="宋体" w:hAnsi="宋体"/>
          <w:sz w:val="24"/>
        </w:rPr>
        <w:t>一系列</w:t>
      </w:r>
      <w:r>
        <w:rPr>
          <w:rFonts w:ascii="宋体" w:hAnsi="宋体"/>
          <w:sz w:val="24"/>
        </w:rPr>
        <w:t>的质量控制措施，涵盖了从产品设计、原材料采购、产品制造、产品检验、性能测试、包装储运到客户服务等全过程等各个环节，对各部门的质量控制工作进行有效的指导和监督；同时，公司以满足客户要求作为标准，由各专门部门负责，认真抓好产品质量的持续改进工作。</w:t>
      </w:r>
    </w:p>
    <w:p>
      <w:pPr>
        <w:spacing w:line="360" w:lineRule="auto"/>
        <w:ind w:firstLine="553"/>
        <w:rPr>
          <w:rFonts w:ascii="黑体" w:hAnsi="黑体" w:eastAsia="黑体"/>
          <w:b/>
          <w:sz w:val="28"/>
          <w:szCs w:val="21"/>
        </w:rPr>
      </w:pPr>
      <w:r>
        <w:rPr>
          <w:rFonts w:ascii="黑体" w:hAnsi="黑体" w:eastAsia="黑体"/>
          <w:b/>
          <w:sz w:val="28"/>
          <w:szCs w:val="21"/>
        </w:rPr>
        <w:t>三、遵守</w:t>
      </w:r>
      <w:r>
        <w:rPr>
          <w:rFonts w:hint="eastAsia" w:ascii="黑体" w:hAnsi="黑体" w:eastAsia="黑体"/>
          <w:b/>
          <w:sz w:val="28"/>
          <w:szCs w:val="21"/>
        </w:rPr>
        <w:t>国家法律法规的</w:t>
      </w:r>
      <w:r>
        <w:rPr>
          <w:rFonts w:ascii="黑体" w:hAnsi="黑体" w:eastAsia="黑体"/>
          <w:b/>
          <w:sz w:val="28"/>
          <w:szCs w:val="21"/>
        </w:rPr>
        <w:t>社会责任</w:t>
      </w:r>
    </w:p>
    <w:p>
      <w:pPr>
        <w:autoSpaceDE w:val="0"/>
        <w:autoSpaceDN w:val="0"/>
        <w:adjustRightInd w:val="0"/>
        <w:spacing w:line="360" w:lineRule="auto"/>
        <w:ind w:firstLine="482"/>
        <w:rPr>
          <w:rFonts w:hint="eastAsia" w:ascii="宋体" w:hAnsi="宋体"/>
          <w:sz w:val="24"/>
        </w:rPr>
      </w:pPr>
      <w:r>
        <w:rPr>
          <w:rFonts w:hint="eastAsia" w:ascii="宋体" w:hAnsi="宋体"/>
          <w:sz w:val="24"/>
        </w:rPr>
        <w:t>公司的产品、服务和运营主要涉及质量安全、环境保护、能源节约、资源综合利用、安全生产、公共卫生等方面的影响。公司严格按照《环境保护法》、《大气污染防治法》、《水污染防治法》、《安全生产法》等国家法律法规，制订了《突发环境事件应急预案》、《环境卫生管理考核办法》、、《客诉管理办法》、《新、改、扩建设项目控制程序》等制度。</w:t>
      </w:r>
      <w:r>
        <w:rPr>
          <w:rFonts w:ascii="宋体" w:hAnsi="宋体"/>
          <w:sz w:val="24"/>
        </w:rPr>
        <w:t>公司的废水、废气、噪声均达到国家和地方规定的排放标准；公司工业固废均进行了处理、处置，危险废物处置率达100%；公司污染治理设施落实专人操作管理，环保设施稳定运行率达95%以上；公司排放的污染物达到国家规定的标准，排放总量在控制范围内</w:t>
      </w:r>
      <w:r>
        <w:rPr>
          <w:rFonts w:hint="eastAsia" w:ascii="宋体" w:hAnsi="宋体"/>
          <w:sz w:val="24"/>
        </w:rPr>
        <w:t>。</w:t>
      </w:r>
    </w:p>
    <w:p>
      <w:pPr>
        <w:pStyle w:val="113"/>
        <w:spacing w:before="93" w:after="62" w:line="360" w:lineRule="auto"/>
        <w:rPr>
          <w:rFonts w:hint="eastAsia" w:ascii="宋体" w:hAnsi="宋体"/>
          <w:szCs w:val="21"/>
        </w:rPr>
      </w:pPr>
      <w:r>
        <w:rPr>
          <w:rFonts w:ascii="宋体" w:hAnsi="宋体"/>
          <w:szCs w:val="21"/>
        </w:rPr>
        <w:t>公司公共责任结果</w:t>
      </w:r>
    </w:p>
    <w:tbl>
      <w:tblPr>
        <w:tblStyle w:val="35"/>
        <w:tblW w:w="9551" w:type="dxa"/>
        <w:jc w:val="center"/>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0" w:type="dxa"/>
          <w:left w:w="108" w:type="dxa"/>
          <w:bottom w:w="0" w:type="dxa"/>
          <w:right w:w="108" w:type="dxa"/>
        </w:tblCellMar>
      </w:tblPr>
      <w:tblGrid>
        <w:gridCol w:w="709"/>
        <w:gridCol w:w="992"/>
        <w:gridCol w:w="1239"/>
        <w:gridCol w:w="1455"/>
        <w:gridCol w:w="1940"/>
        <w:gridCol w:w="1022"/>
        <w:gridCol w:w="2194"/>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dxa"/>
          <w:wAfter w:w="0" w:type="dxa"/>
          <w:trHeight w:val="312" w:hRule="atLeast"/>
          <w:tblHeader/>
          <w:jc w:val="center"/>
        </w:trPr>
        <w:tc>
          <w:tcPr>
            <w:tcW w:w="709"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控制</w:t>
            </w:r>
          </w:p>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方面</w:t>
            </w:r>
          </w:p>
        </w:tc>
        <w:tc>
          <w:tcPr>
            <w:tcW w:w="992"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控制项目</w:t>
            </w:r>
          </w:p>
        </w:tc>
        <w:tc>
          <w:tcPr>
            <w:tcW w:w="1239"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风险</w:t>
            </w:r>
          </w:p>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因素</w:t>
            </w:r>
          </w:p>
        </w:tc>
        <w:tc>
          <w:tcPr>
            <w:tcW w:w="1455"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国家行业标准</w:t>
            </w:r>
          </w:p>
        </w:tc>
        <w:tc>
          <w:tcPr>
            <w:tcW w:w="1940"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控制指标</w:t>
            </w:r>
          </w:p>
        </w:tc>
        <w:tc>
          <w:tcPr>
            <w:tcW w:w="1022"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测量</w:t>
            </w:r>
          </w:p>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方法</w:t>
            </w:r>
          </w:p>
        </w:tc>
        <w:tc>
          <w:tcPr>
            <w:tcW w:w="2194"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控制过程及方法</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dxa"/>
          <w:wAfter w:w="0" w:type="dxa"/>
          <w:trHeight w:val="312"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环境</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保护</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废水（生活污水）、废气、固废、噪声等</w:t>
            </w: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污染水体、空气污染、危害人体、破坏生态、干扰居民生活</w:t>
            </w:r>
          </w:p>
        </w:tc>
        <w:tc>
          <w:tcPr>
            <w:tcW w:w="1455"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《污水综合排放标准》、一 级标准、《工业企业厂界噪声标准》、《国家危险废物名录》等。</w:t>
            </w:r>
          </w:p>
        </w:tc>
        <w:tc>
          <w:tcPr>
            <w:tcW w:w="1940" w:type="dxa"/>
            <w:tcBorders>
              <w:tl2br w:val="nil"/>
              <w:tr2bl w:val="nil"/>
            </w:tcBorders>
            <w:shd w:val="clear" w:color="auto" w:fill="FFFFFF"/>
            <w:noWrap w:val="0"/>
            <w:vAlign w:val="center"/>
          </w:tcPr>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废水：</w:t>
            </w:r>
          </w:p>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COD≤400mg/L，BOD5≤300mg/L，pH 6-9,</w:t>
            </w:r>
          </w:p>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废气：无特别废气</w:t>
            </w:r>
          </w:p>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固废：塑料边角料。</w:t>
            </w:r>
          </w:p>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噪声：昼间≤65分贝，夜间≤55分贝</w:t>
            </w:r>
          </w:p>
        </w:tc>
        <w:tc>
          <w:tcPr>
            <w:tcW w:w="1022"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公司内部自测；</w:t>
            </w:r>
            <w:r>
              <w:rPr>
                <w:rFonts w:hint="eastAsia" w:ascii="宋体" w:hAnsi="宋体" w:eastAsia="宋体" w:cs="宋体"/>
                <w:sz w:val="18"/>
                <w:szCs w:val="18"/>
                <w:lang w:val="en-US" w:eastAsia="zh-CN"/>
              </w:rPr>
              <w:t>东阳市</w:t>
            </w:r>
            <w:r>
              <w:rPr>
                <w:rFonts w:hint="eastAsia" w:ascii="宋体" w:hAnsi="宋体" w:eastAsia="宋体" w:cs="宋体"/>
                <w:sz w:val="18"/>
                <w:szCs w:val="18"/>
              </w:rPr>
              <w:t>环保部门监测</w:t>
            </w:r>
          </w:p>
        </w:tc>
        <w:tc>
          <w:tcPr>
            <w:tcW w:w="2194"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运行废水和废气处理设施、噪声每年委外监测，固废分类处置、废渣综合治理的环保设施。</w:t>
            </w:r>
            <w:r>
              <w:rPr>
                <w:rFonts w:hint="eastAsia" w:ascii="宋体" w:hAnsi="宋体" w:eastAsia="宋体" w:cs="宋体"/>
                <w:bCs/>
                <w:kern w:val="0"/>
                <w:sz w:val="18"/>
                <w:szCs w:val="18"/>
              </w:rPr>
              <w:t>危废送有资质单位处置</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dxa"/>
          <w:wAfter w:w="0" w:type="dxa"/>
          <w:trHeight w:val="1965"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能源资源消耗</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水、电、汽等</w:t>
            </w: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bCs/>
                <w:sz w:val="18"/>
                <w:szCs w:val="18"/>
              </w:rPr>
            </w:pPr>
            <w:r>
              <w:rPr>
                <w:rFonts w:hint="eastAsia" w:ascii="宋体" w:hAnsi="宋体" w:eastAsia="宋体" w:cs="宋体"/>
                <w:bCs/>
                <w:sz w:val="18"/>
                <w:szCs w:val="18"/>
              </w:rPr>
              <w:t>增加生产成本；浪费能源资源；影响可持续发展</w:t>
            </w:r>
          </w:p>
        </w:tc>
        <w:tc>
          <w:tcPr>
            <w:tcW w:w="1455" w:type="dxa"/>
            <w:tcBorders>
              <w:tl2br w:val="nil"/>
              <w:tr2bl w:val="nil"/>
            </w:tcBorders>
            <w:shd w:val="clear" w:color="auto" w:fill="FFFFFF"/>
            <w:noWrap w:val="0"/>
            <w:vAlign w:val="center"/>
          </w:tcPr>
          <w:p>
            <w:pPr>
              <w:snapToGrid w:val="0"/>
              <w:spacing w:line="360" w:lineRule="auto"/>
              <w:rPr>
                <w:rFonts w:hint="eastAsia" w:ascii="宋体" w:hAnsi="宋体" w:eastAsia="宋体" w:cs="宋体"/>
                <w:bCs/>
                <w:sz w:val="18"/>
                <w:szCs w:val="18"/>
              </w:rPr>
            </w:pPr>
            <w:r>
              <w:rPr>
                <w:rFonts w:hint="eastAsia" w:ascii="宋体" w:hAnsi="宋体" w:eastAsia="宋体" w:cs="宋体"/>
                <w:sz w:val="18"/>
                <w:szCs w:val="18"/>
              </w:rPr>
              <w:t>《中华人民共和国节约能源法》、《浙江省实施〈中华人民共和国节约能源法〉办法》等</w:t>
            </w:r>
          </w:p>
        </w:tc>
        <w:tc>
          <w:tcPr>
            <w:tcW w:w="1940"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每万元不变产值综合能耗下降3%</w:t>
            </w:r>
          </w:p>
        </w:tc>
        <w:tc>
          <w:tcPr>
            <w:tcW w:w="1022"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内部监测、统计分析</w:t>
            </w:r>
          </w:p>
        </w:tc>
        <w:tc>
          <w:tcPr>
            <w:tcW w:w="2194"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车间实施能资源考核；</w:t>
            </w:r>
          </w:p>
          <w:p>
            <w:pPr>
              <w:snapToGrid w:val="0"/>
              <w:spacing w:line="360" w:lineRule="auto"/>
              <w:rPr>
                <w:rFonts w:hint="eastAsia" w:ascii="宋体" w:hAnsi="宋体" w:eastAsia="宋体" w:cs="宋体"/>
                <w:bCs/>
                <w:sz w:val="18"/>
                <w:szCs w:val="18"/>
              </w:rPr>
            </w:pPr>
            <w:r>
              <w:rPr>
                <w:rFonts w:hint="eastAsia" w:ascii="宋体" w:hAnsi="宋体" w:eastAsia="宋体" w:cs="宋体"/>
                <w:sz w:val="18"/>
                <w:szCs w:val="18"/>
              </w:rPr>
              <w:t>推广应用节能新技术、新设备、新工艺</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dxa"/>
          <w:wAfter w:w="0" w:type="dxa"/>
          <w:trHeight w:val="1753"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生产</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物体打击、机械伤害、触电、灼烫、中毒</w:t>
            </w: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人员伤亡；财产损失；</w:t>
            </w:r>
          </w:p>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影响社会稳定</w:t>
            </w:r>
          </w:p>
        </w:tc>
        <w:tc>
          <w:tcPr>
            <w:tcW w:w="1455"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《中华人民共和国安全生产法》、《消防法》等</w:t>
            </w:r>
          </w:p>
        </w:tc>
        <w:tc>
          <w:tcPr>
            <w:tcW w:w="1940"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无死亡事故，重大火灾、爆炸、泄漏事故趋于零；一般事故较上年下降10%。</w:t>
            </w:r>
          </w:p>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设备完好率≥95%</w:t>
            </w:r>
          </w:p>
        </w:tc>
        <w:tc>
          <w:tcPr>
            <w:tcW w:w="1022"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安全检查，安全评价</w:t>
            </w:r>
          </w:p>
        </w:tc>
        <w:tc>
          <w:tcPr>
            <w:tcW w:w="2194"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w:t>
            </w:r>
            <w:bookmarkStart w:id="0" w:name="OLE_LINK3"/>
            <w:r>
              <w:rPr>
                <w:rFonts w:hint="eastAsia" w:ascii="宋体" w:hAnsi="宋体" w:eastAsia="宋体" w:cs="宋体"/>
                <w:sz w:val="18"/>
                <w:szCs w:val="18"/>
              </w:rPr>
              <w:t>生产设备管理控制程序》；《应急准备和响应程序》</w:t>
            </w:r>
            <w:bookmarkEnd w:id="0"/>
            <w:r>
              <w:rPr>
                <w:rFonts w:hint="eastAsia" w:ascii="宋体" w:hAnsi="宋体" w:eastAsia="宋体" w:cs="宋体"/>
                <w:sz w:val="18"/>
                <w:szCs w:val="18"/>
              </w:rPr>
              <w:t>；签署安全生产责任书；安全培训；</w:t>
            </w:r>
          </w:p>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执行安全“三同时”等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dxa"/>
          <w:wAfter w:w="0" w:type="dxa"/>
          <w:trHeight w:val="594"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产品</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人员伤亡</w:t>
            </w:r>
          </w:p>
        </w:tc>
        <w:tc>
          <w:tcPr>
            <w:tcW w:w="1455"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各类产品标准</w:t>
            </w:r>
          </w:p>
        </w:tc>
        <w:tc>
          <w:tcPr>
            <w:tcW w:w="1940"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最终成品一次检验合格率100%</w:t>
            </w:r>
          </w:p>
        </w:tc>
        <w:tc>
          <w:tcPr>
            <w:tcW w:w="1022"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检验报告</w:t>
            </w:r>
          </w:p>
        </w:tc>
        <w:tc>
          <w:tcPr>
            <w:tcW w:w="2194"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《产品的测量和放行控制程序》</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dxa"/>
          <w:wAfter w:w="0" w:type="dxa"/>
          <w:trHeight w:val="1320"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公共</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卫生</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有毒物质等</w:t>
            </w: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食物中毒等。</w:t>
            </w:r>
          </w:p>
        </w:tc>
        <w:tc>
          <w:tcPr>
            <w:tcW w:w="1455"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《中华人民共和国国家职业卫生标准》《餐饮服务许可管理办法》</w:t>
            </w:r>
          </w:p>
        </w:tc>
        <w:tc>
          <w:tcPr>
            <w:tcW w:w="1940"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p>
        </w:tc>
        <w:tc>
          <w:tcPr>
            <w:tcW w:w="102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疾病预防控制中心、卫生监督部门检查。</w:t>
            </w:r>
          </w:p>
        </w:tc>
        <w:tc>
          <w:tcPr>
            <w:tcW w:w="2194"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员工定期体检；采购的食品符合卫生标准；劳保用品的发放；危害点的治理改造；食堂员工持健康证上岗</w:t>
            </w:r>
          </w:p>
        </w:tc>
      </w:tr>
    </w:tbl>
    <w:p>
      <w:pPr>
        <w:adjustRightInd w:val="0"/>
        <w:spacing w:line="360" w:lineRule="auto"/>
        <w:ind w:firstLine="480" w:firstLineChars="200"/>
        <w:rPr>
          <w:rFonts w:ascii="宋体" w:hAnsi="宋体"/>
          <w:sz w:val="24"/>
        </w:rPr>
      </w:pPr>
      <w:r>
        <w:rPr>
          <w:rFonts w:ascii="宋体" w:hAnsi="宋体"/>
          <w:sz w:val="24"/>
        </w:rPr>
        <w:t>公司非常关注自身产品、服务及运营方面对未来</w:t>
      </w:r>
      <w:r>
        <w:rPr>
          <w:rFonts w:hint="eastAsia" w:ascii="宋体" w:hAnsi="宋体"/>
          <w:sz w:val="24"/>
        </w:rPr>
        <w:t>质量安全、</w:t>
      </w:r>
      <w:r>
        <w:rPr>
          <w:rFonts w:ascii="宋体" w:hAnsi="宋体"/>
          <w:sz w:val="24"/>
        </w:rPr>
        <w:t>环境、能源消耗、资源综合利用</w:t>
      </w:r>
      <w:r>
        <w:rPr>
          <w:rFonts w:hint="eastAsia" w:ascii="宋体" w:hAnsi="宋体"/>
          <w:sz w:val="24"/>
        </w:rPr>
        <w:t>以及公共卫生</w:t>
      </w:r>
      <w:r>
        <w:rPr>
          <w:rFonts w:ascii="宋体" w:hAnsi="宋体"/>
          <w:sz w:val="24"/>
        </w:rPr>
        <w:t>等方面可能存在的公众隐忧，积极研究对策并预先做出应对准备。</w:t>
      </w:r>
      <w:r>
        <w:rPr>
          <w:rFonts w:hint="eastAsia" w:ascii="宋体" w:hAnsi="宋体"/>
          <w:sz w:val="24"/>
        </w:rPr>
        <w:t>具体见下表：</w:t>
      </w:r>
    </w:p>
    <w:p>
      <w:pPr>
        <w:adjustRightInd w:val="0"/>
        <w:spacing w:line="360" w:lineRule="auto"/>
        <w:jc w:val="center"/>
        <w:rPr>
          <w:rFonts w:ascii="宋体" w:hAnsi="宋体"/>
          <w:szCs w:val="21"/>
        </w:rPr>
      </w:pPr>
      <w:r>
        <w:rPr>
          <w:rFonts w:hint="eastAsia" w:ascii="宋体" w:hAnsi="宋体"/>
          <w:b/>
          <w:szCs w:val="21"/>
        </w:rPr>
        <w:t>对公众和环境的隐忧预见及应对</w:t>
      </w:r>
    </w:p>
    <w:tbl>
      <w:tblPr>
        <w:tblStyle w:val="35"/>
        <w:tblpPr w:leftFromText="180" w:rightFromText="180" w:vertAnchor="text" w:horzAnchor="page" w:tblpX="1474" w:tblpY="482"/>
        <w:tblOverlap w:val="never"/>
        <w:tblW w:w="0" w:type="auto"/>
        <w:tblInd w:w="0" w:type="dxa"/>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28" w:type="dxa"/>
          <w:left w:w="108" w:type="dxa"/>
          <w:bottom w:w="28" w:type="dxa"/>
          <w:right w:w="108" w:type="dxa"/>
        </w:tblCellMar>
      </w:tblPr>
      <w:tblGrid>
        <w:gridCol w:w="1344"/>
        <w:gridCol w:w="2660"/>
        <w:gridCol w:w="5170"/>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328" w:hRule="atLeast"/>
          <w:tblHeader/>
        </w:trPr>
        <w:tc>
          <w:tcPr>
            <w:tcW w:w="1344" w:type="dxa"/>
            <w:tcBorders>
              <w:tl2br w:val="nil"/>
              <w:tr2bl w:val="nil"/>
            </w:tcBorders>
            <w:noWrap w:val="0"/>
            <w:vAlign w:val="top"/>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公众隐忧</w:t>
            </w:r>
          </w:p>
        </w:tc>
        <w:tc>
          <w:tcPr>
            <w:tcW w:w="2660" w:type="dxa"/>
            <w:tcBorders>
              <w:tl2br w:val="nil"/>
              <w:tr2bl w:val="nil"/>
            </w:tcBorders>
            <w:noWrap w:val="0"/>
            <w:vAlign w:val="top"/>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产生原因</w:t>
            </w:r>
          </w:p>
        </w:tc>
        <w:tc>
          <w:tcPr>
            <w:tcW w:w="5170" w:type="dxa"/>
            <w:tcBorders>
              <w:tl2br w:val="nil"/>
              <w:tr2bl w:val="nil"/>
            </w:tcBorders>
            <w:noWrap w:val="0"/>
            <w:vAlign w:val="top"/>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应对措施</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328"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环境污染</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设备不正常运转产生噪声；员工生活、生产过程产生废水、废气； </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1、导入清洁生产，从分析工艺流程和物料平衡开始，确定废弃物产生的部位，分析原因，改进工艺与设备，减少固废的产生和减轻影响环境程度，符合环境监测各项指标；</w:t>
            </w:r>
          </w:p>
          <w:p>
            <w:pPr>
              <w:spacing w:line="360" w:lineRule="auto"/>
              <w:rPr>
                <w:rFonts w:hint="eastAsia" w:ascii="宋体" w:hAnsi="宋体" w:eastAsia="宋体" w:cs="宋体"/>
                <w:sz w:val="18"/>
                <w:szCs w:val="18"/>
              </w:rPr>
            </w:pPr>
            <w:r>
              <w:rPr>
                <w:rFonts w:hint="eastAsia" w:ascii="宋体" w:hAnsi="宋体" w:eastAsia="宋体" w:cs="宋体"/>
                <w:sz w:val="18"/>
                <w:szCs w:val="18"/>
              </w:rPr>
              <w:t>2、按时足量发放劳保用品，并对重点部位进行技术改造和工艺改进；</w:t>
            </w:r>
          </w:p>
          <w:p>
            <w:pPr>
              <w:spacing w:line="360" w:lineRule="auto"/>
              <w:rPr>
                <w:rFonts w:hint="eastAsia" w:ascii="宋体" w:hAnsi="宋体" w:eastAsia="宋体" w:cs="宋体"/>
                <w:sz w:val="18"/>
                <w:szCs w:val="18"/>
              </w:rPr>
            </w:pPr>
            <w:r>
              <w:rPr>
                <w:rFonts w:hint="eastAsia" w:ascii="宋体" w:hAnsi="宋体" w:eastAsia="宋体" w:cs="宋体"/>
                <w:sz w:val="18"/>
                <w:szCs w:val="18"/>
              </w:rPr>
              <w:t>3、对所有工厂进行了通风设施改造，加强车间通风。</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328"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能源消耗</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资源综合利用</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电力等资源紧缺，会造成能源价格上涨，导致产品成本提高等。</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1、导入清洁生产降低能源消耗；</w:t>
            </w:r>
          </w:p>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2、利用峰谷值用电，推广利用节能新技术、新材料、新设备、新工艺； </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279"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安全生产</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火灾；危险品的燃烧、爆炸；电力的触电等安全隐患。</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1、严格执行《</w:t>
            </w:r>
            <w:r>
              <w:rPr>
                <w:rFonts w:hint="eastAsia" w:ascii="宋体" w:hAnsi="宋体" w:eastAsia="宋体" w:cs="宋体"/>
                <w:sz w:val="18"/>
                <w:szCs w:val="18"/>
                <w:lang w:val="en-US" w:eastAsia="zh-CN"/>
              </w:rPr>
              <w:t>安全管理制度</w:t>
            </w:r>
            <w:r>
              <w:rPr>
                <w:rFonts w:hint="eastAsia" w:ascii="宋体" w:hAnsi="宋体" w:eastAsia="宋体" w:cs="宋体"/>
                <w:sz w:val="18"/>
                <w:szCs w:val="18"/>
              </w:rPr>
              <w:t>》，实行安全管理绩效考核；2、一旦发生突发事件立即启动《突发环境事件应急预案》。</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2141"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产品安全</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火灾、触电时直接关系到人的生命和财产安全；产品含有有害元素</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1、专门设立品质部。实施质量管理、实施质量监督和考核；</w:t>
            </w:r>
          </w:p>
          <w:p>
            <w:pPr>
              <w:spacing w:line="360" w:lineRule="auto"/>
              <w:rPr>
                <w:rFonts w:hint="eastAsia" w:ascii="宋体" w:hAnsi="宋体" w:eastAsia="宋体" w:cs="宋体"/>
                <w:sz w:val="18"/>
                <w:szCs w:val="18"/>
              </w:rPr>
            </w:pPr>
            <w:r>
              <w:rPr>
                <w:rFonts w:hint="eastAsia" w:ascii="宋体" w:hAnsi="宋体" w:eastAsia="宋体" w:cs="宋体"/>
                <w:sz w:val="18"/>
                <w:szCs w:val="18"/>
              </w:rPr>
              <w:t>2、通过各种认证体系；</w:t>
            </w:r>
          </w:p>
          <w:p>
            <w:pPr>
              <w:spacing w:line="360" w:lineRule="auto"/>
              <w:rPr>
                <w:rFonts w:hint="eastAsia" w:ascii="宋体" w:hAnsi="宋体" w:eastAsia="宋体" w:cs="宋体"/>
                <w:sz w:val="18"/>
                <w:szCs w:val="18"/>
              </w:rPr>
            </w:pPr>
            <w:r>
              <w:rPr>
                <w:rFonts w:hint="eastAsia" w:ascii="宋体" w:hAnsi="宋体" w:eastAsia="宋体" w:cs="宋体"/>
                <w:sz w:val="18"/>
                <w:szCs w:val="18"/>
              </w:rPr>
              <w:t>3、通过内部审核、管理评审、第三方跟踪审核，确保质量管理体系有效运行和持续改进等。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2713"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公共卫生</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潜在职业病，生活垃圾，固废的污染等。</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1、公司规定每年对特殊岗位员工进行体检；</w:t>
            </w:r>
          </w:p>
          <w:p>
            <w:pPr>
              <w:spacing w:line="360" w:lineRule="auto"/>
              <w:rPr>
                <w:rFonts w:hint="eastAsia" w:ascii="宋体" w:hAnsi="宋体" w:eastAsia="宋体" w:cs="宋体"/>
                <w:sz w:val="18"/>
                <w:szCs w:val="18"/>
              </w:rPr>
            </w:pPr>
            <w:r>
              <w:rPr>
                <w:rFonts w:hint="eastAsia" w:ascii="宋体" w:hAnsi="宋体" w:eastAsia="宋体" w:cs="宋体"/>
                <w:sz w:val="18"/>
                <w:szCs w:val="18"/>
              </w:rPr>
              <w:t>2、公司规定垃圾集中收集运到垃圾中转站，由垃圾处理厂统一处理；</w:t>
            </w:r>
          </w:p>
          <w:p>
            <w:pPr>
              <w:spacing w:line="360" w:lineRule="auto"/>
              <w:rPr>
                <w:rFonts w:hint="eastAsia" w:ascii="宋体" w:hAnsi="宋体" w:eastAsia="宋体" w:cs="宋体"/>
                <w:sz w:val="18"/>
                <w:szCs w:val="18"/>
              </w:rPr>
            </w:pPr>
            <w:r>
              <w:rPr>
                <w:rFonts w:hint="eastAsia" w:ascii="宋体" w:hAnsi="宋体" w:eastAsia="宋体" w:cs="宋体"/>
                <w:sz w:val="18"/>
                <w:szCs w:val="18"/>
              </w:rPr>
              <w:t>3、污水纳入污水管网进公司处理站预处理后再纳入镇污水处理厂处理；</w:t>
            </w:r>
          </w:p>
          <w:p>
            <w:pPr>
              <w:spacing w:line="360" w:lineRule="auto"/>
              <w:rPr>
                <w:rFonts w:hint="eastAsia" w:ascii="宋体" w:hAnsi="宋体" w:eastAsia="宋体" w:cs="宋体"/>
                <w:sz w:val="18"/>
                <w:szCs w:val="18"/>
              </w:rPr>
            </w:pPr>
            <w:r>
              <w:rPr>
                <w:rFonts w:hint="eastAsia" w:ascii="宋体" w:hAnsi="宋体" w:eastAsia="宋体" w:cs="宋体"/>
                <w:sz w:val="18"/>
                <w:szCs w:val="18"/>
              </w:rPr>
              <w:t>4、危险固废统一收集由有资质第三方统一处理。</w:t>
            </w:r>
          </w:p>
        </w:tc>
      </w:tr>
    </w:tbl>
    <w:p>
      <w:pPr>
        <w:pStyle w:val="107"/>
        <w:spacing w:line="360" w:lineRule="auto"/>
        <w:ind w:firstLine="480"/>
        <w:rPr>
          <w:rFonts w:hint="eastAsia" w:ascii="宋体" w:hAnsi="宋体"/>
          <w:color w:val="auto"/>
        </w:rPr>
      </w:pPr>
      <w:r>
        <w:rPr>
          <w:rFonts w:ascii="宋体" w:hAnsi="宋体"/>
          <w:color w:val="auto"/>
        </w:rPr>
        <w:t>公司对产品、服务和运营中</w:t>
      </w:r>
      <w:r>
        <w:rPr>
          <w:rFonts w:hint="eastAsia" w:ascii="宋体" w:hAnsi="宋体"/>
          <w:color w:val="auto"/>
        </w:rPr>
        <w:t>对</w:t>
      </w:r>
      <w:r>
        <w:rPr>
          <w:rFonts w:ascii="宋体" w:hAnsi="宋体"/>
          <w:color w:val="auto"/>
        </w:rPr>
        <w:t>在</w:t>
      </w:r>
      <w:r>
        <w:rPr>
          <w:rFonts w:hint="eastAsia" w:ascii="宋体" w:hAnsi="宋体"/>
          <w:color w:val="auto"/>
        </w:rPr>
        <w:t>质量安全、</w:t>
      </w:r>
      <w:r>
        <w:rPr>
          <w:rFonts w:ascii="宋体" w:hAnsi="宋体"/>
          <w:color w:val="auto"/>
        </w:rPr>
        <w:t>环境保护、</w:t>
      </w:r>
      <w:r>
        <w:rPr>
          <w:rFonts w:hint="eastAsia" w:ascii="宋体" w:hAnsi="宋体"/>
          <w:color w:val="auto"/>
        </w:rPr>
        <w:t>能源节约、资源综合利用、</w:t>
      </w:r>
      <w:r>
        <w:rPr>
          <w:rFonts w:ascii="宋体" w:hAnsi="宋体"/>
          <w:color w:val="auto"/>
        </w:rPr>
        <w:t>安全生产、产品安全、公共卫生等方面进行风险识别，确立目标及测量方法，并在关键过程采取有力措施。</w:t>
      </w:r>
    </w:p>
    <w:p>
      <w:pPr>
        <w:pStyle w:val="107"/>
        <w:spacing w:line="360" w:lineRule="auto"/>
        <w:ind w:firstLine="2941" w:firstLineChars="1400"/>
        <w:rPr>
          <w:rFonts w:ascii="宋体" w:hAnsi="宋体"/>
          <w:b/>
          <w:color w:val="auto"/>
          <w:sz w:val="21"/>
          <w:szCs w:val="21"/>
        </w:rPr>
      </w:pPr>
      <w:r>
        <w:rPr>
          <w:rFonts w:ascii="宋体" w:hAnsi="宋体"/>
          <w:b/>
          <w:color w:val="auto"/>
          <w:sz w:val="21"/>
          <w:szCs w:val="21"/>
        </w:rPr>
        <w:t>公共责任控制措施与指标</w:t>
      </w:r>
    </w:p>
    <w:tbl>
      <w:tblPr>
        <w:tblStyle w:val="35"/>
        <w:tblW w:w="0" w:type="auto"/>
        <w:tblInd w:w="0" w:type="dxa"/>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Layout w:type="fixed"/>
        <w:tblCellMar>
          <w:top w:w="0" w:type="dxa"/>
          <w:left w:w="108" w:type="dxa"/>
          <w:bottom w:w="0" w:type="dxa"/>
          <w:right w:w="108" w:type="dxa"/>
        </w:tblCellMar>
      </w:tblPr>
      <w:tblGrid>
        <w:gridCol w:w="1185"/>
        <w:gridCol w:w="1602"/>
        <w:gridCol w:w="2673"/>
        <w:gridCol w:w="2303"/>
        <w:gridCol w:w="1411"/>
      </w:tblGrid>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auto"/>
          <w:wAfter w:w="0" w:type="auto"/>
          <w:cantSplit/>
          <w:tblHeader/>
        </w:trPr>
        <w:tc>
          <w:tcPr>
            <w:tcW w:w="1185"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控制项目</w:t>
            </w:r>
          </w:p>
        </w:tc>
        <w:tc>
          <w:tcPr>
            <w:tcW w:w="1602"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影响因素</w:t>
            </w:r>
          </w:p>
        </w:tc>
        <w:tc>
          <w:tcPr>
            <w:tcW w:w="2673"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公司要求</w:t>
            </w:r>
          </w:p>
        </w:tc>
        <w:tc>
          <w:tcPr>
            <w:tcW w:w="2303"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法律法规要求</w:t>
            </w:r>
          </w:p>
        </w:tc>
        <w:tc>
          <w:tcPr>
            <w:tcW w:w="1411"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测量方法及过程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PrEx>
        <w:trPr>
          <w:wBefore w:w="0" w:type="auto"/>
          <w:wAfter w:w="0" w:type="auto"/>
        </w:trPr>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环境保护</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废气、噪声、废水、粉尘等环境污染</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废水方面：如pH：6-9；CODcr≤400 mg/L；BOD≤300 mg/L；NH3-N≤35 mg/L。废气排放浓度：非甲烷总烃；噪音方面：3类≤65dB</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符合ISO14001管理体系，符合《环境管理体系认证》，《环境保护法》等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委托外部检测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auto"/>
          <w:wAfter w:w="0" w:type="auto"/>
        </w:trPr>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能源消耗</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水，汽、油类，电力等综合能耗</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按照公司制定的单位产品能耗为考核指标，落实到各级管理人员进行考核</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符合ISO14001管理体系，符合《环境管理体系认证》，《环境保护法》等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内部监测</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外包监测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PrEx>
        <w:trPr>
          <w:wBefore w:w="0" w:type="auto"/>
          <w:wAfter w:w="0" w:type="auto"/>
        </w:trPr>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能源</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综合利用</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电力，水资源紧缺等带来的能源危机</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按照公司制定的相关节能规章制度，节能管理规范和节能计划来执行。如《节约能源法》，《公司节能降耗规章制度》</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按照《中华人民共和国计量法》和《计量法实施细则》等相关法律来节能</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内部监测</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外包监测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auto"/>
          <w:wAfter w:w="0" w:type="auto"/>
        </w:trPr>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安全生产</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火灾等造成人身事故等</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按照公司制订的《安全生产管理制度》，《突发性事件应急预案》管理规定执行</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符合《劳动合同法》、</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HYPERLINK "http://file.jushi.com/fileManager/fileManageAction.do?act=manage&amp;module=tms.archives.manage" \t "_blank"</w:instrText>
            </w:r>
            <w:r>
              <w:rPr>
                <w:rFonts w:hint="eastAsia" w:ascii="宋体" w:hAnsi="宋体" w:eastAsia="宋体" w:cs="宋体"/>
                <w:sz w:val="18"/>
                <w:szCs w:val="18"/>
              </w:rPr>
              <w:fldChar w:fldCharType="separate"/>
            </w:r>
            <w:r>
              <w:rPr>
                <w:rFonts w:hint="eastAsia" w:ascii="宋体" w:hAnsi="宋体" w:eastAsia="宋体" w:cs="宋体"/>
                <w:sz w:val="18"/>
                <w:szCs w:val="18"/>
              </w:rPr>
              <w:t>《安全生产法</w:t>
            </w:r>
            <w:r>
              <w:rPr>
                <w:rFonts w:hint="eastAsia" w:ascii="宋体" w:hAnsi="宋体" w:eastAsia="宋体" w:cs="宋体"/>
                <w:sz w:val="18"/>
                <w:szCs w:val="18"/>
              </w:rPr>
              <w:fldChar w:fldCharType="end"/>
            </w:r>
            <w:r>
              <w:rPr>
                <w:rFonts w:hint="eastAsia" w:ascii="宋体" w:hAnsi="宋体" w:eastAsia="宋体" w:cs="宋体"/>
                <w:sz w:val="18"/>
                <w:szCs w:val="18"/>
              </w:rPr>
              <w:t>》、《职业病防治法》等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定期监测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PrEx>
        <w:trPr>
          <w:wBefore w:w="0" w:type="auto"/>
          <w:wAfter w:w="0" w:type="auto"/>
        </w:trPr>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产品安全</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因产品发生火灾等</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符合《质量管理体系认证》、《产品质量法》、《工业产品质量责任条例》、《产品质量认证管理条例》等</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符合《产品质量法》，GB/T14001等质量/环境管理体系，《安全生产法》等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定期监测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rPr>
          <w:wBefore w:w="0" w:type="auto"/>
          <w:wAfter w:w="0" w:type="auto"/>
        </w:trPr>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公共卫生</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食堂垃圾</w:t>
            </w:r>
          </w:p>
          <w:p>
            <w:pPr>
              <w:spacing w:line="360" w:lineRule="auto"/>
              <w:rPr>
                <w:rFonts w:hint="eastAsia" w:ascii="宋体" w:hAnsi="宋体" w:eastAsia="宋体" w:cs="宋体"/>
                <w:sz w:val="18"/>
                <w:szCs w:val="18"/>
              </w:rPr>
            </w:pPr>
            <w:r>
              <w:rPr>
                <w:rFonts w:hint="eastAsia" w:ascii="宋体" w:hAnsi="宋体" w:eastAsia="宋体" w:cs="宋体"/>
                <w:sz w:val="18"/>
                <w:szCs w:val="18"/>
              </w:rPr>
              <w:t>生活污水</w:t>
            </w:r>
          </w:p>
          <w:p>
            <w:pPr>
              <w:spacing w:line="360" w:lineRule="auto"/>
              <w:rPr>
                <w:rFonts w:hint="eastAsia" w:ascii="宋体" w:hAnsi="宋体" w:eastAsia="宋体" w:cs="宋体"/>
                <w:sz w:val="18"/>
                <w:szCs w:val="18"/>
              </w:rPr>
            </w:pPr>
            <w:r>
              <w:rPr>
                <w:rFonts w:hint="eastAsia" w:ascii="宋体" w:hAnsi="宋体" w:eastAsia="宋体" w:cs="宋体"/>
                <w:sz w:val="18"/>
                <w:szCs w:val="18"/>
              </w:rPr>
              <w:t>生活垃圾</w:t>
            </w:r>
          </w:p>
          <w:p>
            <w:pPr>
              <w:spacing w:line="360" w:lineRule="auto"/>
              <w:rPr>
                <w:rFonts w:hint="eastAsia" w:ascii="宋体" w:hAnsi="宋体" w:eastAsia="宋体" w:cs="宋体"/>
                <w:sz w:val="18"/>
                <w:szCs w:val="18"/>
              </w:rPr>
            </w:pPr>
            <w:r>
              <w:rPr>
                <w:rFonts w:hint="eastAsia" w:ascii="宋体" w:hAnsi="宋体" w:eastAsia="宋体" w:cs="宋体"/>
                <w:sz w:val="18"/>
                <w:szCs w:val="18"/>
              </w:rPr>
              <w:t>危险固废</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公司规定垃圾集中收集运到垃圾中转站，由垃圾处理厂统一处理；污水纳入污水管网进公司处理站预处理后再纳入镇污水处理厂处理；危险固废统一收集由市固废处理中心统一处理</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符合ISO14001管理体系，符合《环境管理体系认证》，《环境保护法》等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内部监测</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外包监测</w:t>
            </w:r>
          </w:p>
        </w:tc>
      </w:tr>
    </w:tbl>
    <w:p>
      <w:pPr>
        <w:adjustRightInd w:val="0"/>
        <w:spacing w:line="360" w:lineRule="auto"/>
        <w:ind w:firstLine="539"/>
        <w:rPr>
          <w:rFonts w:hint="eastAsia" w:ascii="宋体" w:hAnsi="宋体"/>
          <w:spacing w:val="2"/>
          <w:szCs w:val="21"/>
        </w:rPr>
      </w:pPr>
    </w:p>
    <w:p>
      <w:pPr>
        <w:adjustRightInd w:val="0"/>
        <w:spacing w:line="360" w:lineRule="auto"/>
        <w:ind w:firstLine="539"/>
        <w:rPr>
          <w:rFonts w:ascii="宋体" w:hAnsi="宋体"/>
          <w:spacing w:val="2"/>
          <w:sz w:val="24"/>
        </w:rPr>
      </w:pPr>
      <w:r>
        <w:rPr>
          <w:rFonts w:ascii="宋体" w:hAnsi="宋体"/>
          <w:spacing w:val="2"/>
          <w:sz w:val="24"/>
        </w:rPr>
        <w:t>公司</w:t>
      </w:r>
      <w:r>
        <w:rPr>
          <w:rFonts w:hint="eastAsia" w:ascii="宋体" w:hAnsi="宋体"/>
          <w:spacing w:val="2"/>
          <w:sz w:val="24"/>
        </w:rPr>
        <w:t>以“</w:t>
      </w:r>
      <w:r>
        <w:rPr>
          <w:rFonts w:hint="eastAsia" w:ascii="宋体" w:hAnsi="宋体" w:eastAsia="Calibri" w:cs="Times New Roman"/>
          <w:spacing w:val="2"/>
          <w:sz w:val="24"/>
          <w:lang w:val="en-US" w:eastAsia="zh-CN"/>
        </w:rPr>
        <w:t>以人为本、敬业奉献、诚信感恩、同创共享</w:t>
      </w:r>
      <w:r>
        <w:rPr>
          <w:rFonts w:hint="eastAsia" w:ascii="宋体" w:hAnsi="宋体" w:eastAsia="Calibri" w:cs="Times New Roman"/>
          <w:spacing w:val="2"/>
          <w:sz w:val="24"/>
        </w:rPr>
        <w:t>”</w:t>
      </w:r>
      <w:r>
        <w:rPr>
          <w:rFonts w:hint="eastAsia" w:ascii="宋体" w:hAnsi="宋体"/>
          <w:spacing w:val="2"/>
          <w:sz w:val="24"/>
        </w:rPr>
        <w:t>为核心价值观，</w:t>
      </w:r>
      <w:r>
        <w:rPr>
          <w:rFonts w:ascii="宋体" w:hAnsi="宋体"/>
          <w:spacing w:val="2"/>
          <w:sz w:val="24"/>
        </w:rPr>
        <w:t>在发展过程中坚持和倡导诚信，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100%，确保与合作伙伴建立健康、规范的良好合作关系，打造信用企业。</w:t>
      </w:r>
    </w:p>
    <w:p>
      <w:pPr>
        <w:autoSpaceDE w:val="0"/>
        <w:autoSpaceDN w:val="0"/>
        <w:adjustRightInd w:val="0"/>
        <w:spacing w:line="360" w:lineRule="auto"/>
        <w:ind w:firstLine="482"/>
        <w:rPr>
          <w:rFonts w:hint="eastAsia" w:ascii="宋体" w:hAnsi="宋体"/>
          <w:spacing w:val="2"/>
          <w:sz w:val="24"/>
        </w:rPr>
      </w:pPr>
      <w:r>
        <w:rPr>
          <w:rFonts w:ascii="宋体" w:hAnsi="宋体"/>
          <w:spacing w:val="2"/>
          <w:sz w:val="24"/>
        </w:rPr>
        <w:t>通过诚信经营，公司</w:t>
      </w:r>
      <w:r>
        <w:rPr>
          <w:rFonts w:hint="eastAsia" w:ascii="宋体" w:hAnsi="宋体" w:eastAsia="宋体"/>
          <w:spacing w:val="2"/>
          <w:sz w:val="24"/>
          <w:lang w:val="en-US" w:eastAsia="zh-CN"/>
        </w:rPr>
        <w:t>通过</w:t>
      </w:r>
      <w:r>
        <w:rPr>
          <w:rFonts w:hint="eastAsia" w:ascii="宋体" w:hAnsi="宋体" w:eastAsia="Calibri" w:cs="Times New Roman"/>
          <w:spacing w:val="2"/>
          <w:sz w:val="24"/>
        </w:rPr>
        <w:t>浙江省AA级“守合同重信用企业”。</w:t>
      </w:r>
      <w:r>
        <w:rPr>
          <w:rFonts w:ascii="宋体" w:hAnsi="宋体"/>
          <w:spacing w:val="2"/>
          <w:sz w:val="24"/>
        </w:rPr>
        <w:t>受到了顾客、供应商、政府、工商、税务、银行等部门的广泛好评。</w:t>
      </w:r>
    </w:p>
    <w:p>
      <w:pPr>
        <w:pStyle w:val="107"/>
        <w:spacing w:line="360" w:lineRule="auto"/>
        <w:ind w:firstLine="480"/>
        <w:rPr>
          <w:rFonts w:hint="eastAsia" w:ascii="宋体" w:hAnsi="宋体"/>
          <w:color w:val="auto"/>
        </w:rPr>
      </w:pPr>
      <w:r>
        <w:rPr>
          <w:rFonts w:ascii="宋体" w:hAnsi="宋体"/>
          <w:color w:val="auto"/>
        </w:rPr>
        <w:t>为确保内部运行符合道德要求，公司制定了道德行为测量指标与方法。</w:t>
      </w:r>
      <w:r>
        <w:rPr>
          <w:rFonts w:hint="eastAsia" w:ascii="宋体" w:hAnsi="宋体"/>
          <w:color w:val="auto"/>
        </w:rPr>
        <w:t>如下表：</w:t>
      </w:r>
    </w:p>
    <w:p>
      <w:pPr>
        <w:pStyle w:val="7"/>
        <w:keepNext/>
        <w:adjustRightInd w:val="0"/>
        <w:spacing w:before="156" w:beforeLines="50" w:line="360" w:lineRule="auto"/>
        <w:ind w:firstLine="422"/>
        <w:jc w:val="center"/>
        <w:rPr>
          <w:rFonts w:ascii="宋体" w:hAnsi="宋体" w:eastAsia="宋体"/>
          <w:b/>
          <w:sz w:val="21"/>
          <w:szCs w:val="21"/>
        </w:rPr>
      </w:pPr>
      <w:r>
        <w:rPr>
          <w:rFonts w:ascii="宋体" w:hAnsi="宋体" w:eastAsia="宋体"/>
          <w:b/>
          <w:sz w:val="21"/>
          <w:szCs w:val="21"/>
        </w:rPr>
        <w:t>公司道德行为监测体系</w:t>
      </w:r>
    </w:p>
    <w:tbl>
      <w:tblPr>
        <w:tblStyle w:val="35"/>
        <w:tblW w:w="0" w:type="auto"/>
        <w:jc w:val="center"/>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28" w:type="dxa"/>
          <w:left w:w="108" w:type="dxa"/>
          <w:bottom w:w="28" w:type="dxa"/>
          <w:right w:w="108" w:type="dxa"/>
        </w:tblCellMar>
      </w:tblPr>
      <w:tblGrid>
        <w:gridCol w:w="653"/>
        <w:gridCol w:w="1276"/>
        <w:gridCol w:w="1276"/>
        <w:gridCol w:w="3741"/>
        <w:gridCol w:w="1900"/>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748" w:hRule="atLeast"/>
          <w:tblHeader/>
          <w:jc w:val="center"/>
        </w:trPr>
        <w:tc>
          <w:tcPr>
            <w:tcW w:w="653" w:type="dxa"/>
            <w:tcBorders>
              <w:tl2br w:val="nil"/>
              <w:tr2bl w:val="nil"/>
            </w:tcBorders>
            <w:noWrap w:val="0"/>
            <w:tcMar>
              <w:top w:w="28" w:type="dxa"/>
              <w:left w:w="0" w:type="dxa"/>
              <w:bottom w:w="28" w:type="dxa"/>
              <w:right w:w="0" w:type="dxa"/>
            </w:tcMar>
            <w:vAlign w:val="center"/>
          </w:tcPr>
          <w:p>
            <w:pPr>
              <w:adjustRightInd w:val="0"/>
              <w:jc w:val="center"/>
              <w:rPr>
                <w:rFonts w:hint="eastAsia" w:ascii="宋体" w:hAnsi="宋体" w:eastAsia="宋体" w:cs="宋体"/>
                <w:b/>
                <w:sz w:val="18"/>
                <w:szCs w:val="18"/>
              </w:rPr>
            </w:pPr>
            <w:r>
              <w:rPr>
                <w:rFonts w:hint="eastAsia" w:ascii="宋体" w:hAnsi="宋体" w:eastAsia="宋体" w:cs="宋体"/>
                <w:b/>
                <w:sz w:val="18"/>
                <w:szCs w:val="18"/>
              </w:rPr>
              <w:t>行为 类型</w:t>
            </w:r>
          </w:p>
        </w:tc>
        <w:tc>
          <w:tcPr>
            <w:tcW w:w="1276" w:type="dxa"/>
            <w:tcBorders>
              <w:tl2br w:val="nil"/>
              <w:tr2bl w:val="nil"/>
            </w:tcBorders>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监督对象</w:t>
            </w:r>
          </w:p>
        </w:tc>
        <w:tc>
          <w:tcPr>
            <w:tcW w:w="1276" w:type="dxa"/>
            <w:tcBorders>
              <w:tl2br w:val="nil"/>
              <w:tr2bl w:val="nil"/>
            </w:tcBorders>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监督部门</w:t>
            </w:r>
          </w:p>
        </w:tc>
        <w:tc>
          <w:tcPr>
            <w:tcW w:w="3741" w:type="dxa"/>
            <w:tcBorders>
              <w:tl2br w:val="nil"/>
              <w:tr2bl w:val="nil"/>
            </w:tcBorders>
            <w:noWrap w:val="0"/>
            <w:vAlign w:val="center"/>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测量方法与过程</w:t>
            </w:r>
          </w:p>
        </w:tc>
        <w:tc>
          <w:tcPr>
            <w:tcW w:w="1900" w:type="dxa"/>
            <w:tcBorders>
              <w:tl2br w:val="nil"/>
              <w:tr2bl w:val="nil"/>
            </w:tcBorders>
            <w:noWrap w:val="0"/>
            <w:vAlign w:val="center"/>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测量指标</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969" w:hRule="atLeast"/>
          <w:jc w:val="center"/>
        </w:trPr>
        <w:tc>
          <w:tcPr>
            <w:tcW w:w="653" w:type="dxa"/>
            <w:vMerge w:val="restart"/>
            <w:tcBorders>
              <w:tl2br w:val="nil"/>
              <w:tr2bl w:val="nil"/>
            </w:tcBorders>
            <w:shd w:val="clear" w:color="auto" w:fill="FFFFFF"/>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企业内部</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高层领导</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董事会</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董事会审核公司销售、财务，遵纪守法、信息真实，以《公司法》为准绳，合法生产，合法经营等。</w:t>
            </w:r>
          </w:p>
        </w:tc>
        <w:tc>
          <w:tcPr>
            <w:tcW w:w="1900"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企业利润、安全、领导能力的纵向评议等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1066" w:hRule="atLeast"/>
          <w:jc w:val="center"/>
        </w:trPr>
        <w:tc>
          <w:tcPr>
            <w:tcW w:w="653" w:type="dxa"/>
            <w:vMerge w:val="continue"/>
            <w:tcBorders>
              <w:tl2br w:val="nil"/>
              <w:tr2bl w:val="nil"/>
            </w:tcBorders>
            <w:shd w:val="clear" w:color="auto" w:fill="auto"/>
            <w:noWrap w:val="0"/>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中层干部</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职能部门</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工会</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上级部门</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1、内部审计；</w:t>
            </w:r>
          </w:p>
          <w:p>
            <w:pPr>
              <w:spacing w:line="360" w:lineRule="auto"/>
              <w:rPr>
                <w:rFonts w:hint="eastAsia" w:ascii="宋体" w:hAnsi="宋体" w:eastAsia="宋体" w:cs="宋体"/>
                <w:sz w:val="18"/>
                <w:szCs w:val="18"/>
              </w:rPr>
            </w:pPr>
            <w:r>
              <w:rPr>
                <w:rFonts w:hint="eastAsia" w:ascii="宋体" w:hAnsi="宋体" w:eastAsia="宋体" w:cs="宋体"/>
                <w:sz w:val="18"/>
                <w:szCs w:val="18"/>
              </w:rPr>
              <w:t>2、意见箱投诉举报；</w:t>
            </w:r>
          </w:p>
          <w:p>
            <w:pPr>
              <w:spacing w:line="360" w:lineRule="auto"/>
              <w:rPr>
                <w:rFonts w:hint="eastAsia" w:ascii="宋体" w:hAnsi="宋体" w:eastAsia="宋体" w:cs="宋体"/>
                <w:sz w:val="18"/>
                <w:szCs w:val="18"/>
              </w:rPr>
            </w:pPr>
            <w:r>
              <w:rPr>
                <w:rFonts w:hint="eastAsia" w:ascii="宋体" w:hAnsi="宋体" w:eastAsia="宋体" w:cs="宋体"/>
                <w:sz w:val="18"/>
                <w:szCs w:val="18"/>
              </w:rPr>
              <w:t>3、中层干部培训；</w:t>
            </w:r>
          </w:p>
          <w:p>
            <w:pPr>
              <w:spacing w:line="360" w:lineRule="auto"/>
              <w:rPr>
                <w:rFonts w:hint="eastAsia" w:ascii="宋体" w:hAnsi="宋体" w:eastAsia="宋体" w:cs="宋体"/>
                <w:sz w:val="18"/>
                <w:szCs w:val="18"/>
              </w:rPr>
            </w:pPr>
            <w:r>
              <w:rPr>
                <w:rFonts w:hint="eastAsia" w:ascii="宋体" w:hAnsi="宋体" w:eastAsia="宋体" w:cs="宋体"/>
                <w:sz w:val="18"/>
                <w:szCs w:val="18"/>
              </w:rPr>
              <w:t>4、违法乱纪纪录。</w:t>
            </w:r>
          </w:p>
        </w:tc>
        <w:tc>
          <w:tcPr>
            <w:tcW w:w="1900"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绩效考核得分</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4068" w:hRule="atLeast"/>
          <w:jc w:val="center"/>
        </w:trPr>
        <w:tc>
          <w:tcPr>
            <w:tcW w:w="653" w:type="dxa"/>
            <w:vMerge w:val="continue"/>
            <w:tcBorders>
              <w:tl2br w:val="nil"/>
              <w:tr2bl w:val="nil"/>
            </w:tcBorders>
            <w:shd w:val="clear" w:color="auto" w:fill="auto"/>
            <w:noWrap w:val="0"/>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员工</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行政人事部</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1、科学地选拔领导与员工；</w:t>
            </w:r>
          </w:p>
          <w:p>
            <w:pPr>
              <w:spacing w:line="360" w:lineRule="auto"/>
              <w:rPr>
                <w:rFonts w:hint="eastAsia" w:ascii="宋体" w:hAnsi="宋体" w:eastAsia="宋体" w:cs="宋体"/>
                <w:sz w:val="18"/>
                <w:szCs w:val="18"/>
              </w:rPr>
            </w:pPr>
            <w:r>
              <w:rPr>
                <w:rFonts w:hint="eastAsia" w:ascii="宋体" w:hAnsi="宋体" w:eastAsia="宋体" w:cs="宋体"/>
                <w:sz w:val="18"/>
                <w:szCs w:val="18"/>
              </w:rPr>
              <w:t>2、积极开展员工的定期培训；</w:t>
            </w:r>
          </w:p>
          <w:p>
            <w:pPr>
              <w:spacing w:line="360" w:lineRule="auto"/>
              <w:rPr>
                <w:rFonts w:hint="eastAsia" w:ascii="宋体" w:hAnsi="宋体" w:eastAsia="宋体" w:cs="宋体"/>
                <w:sz w:val="18"/>
                <w:szCs w:val="18"/>
              </w:rPr>
            </w:pPr>
            <w:r>
              <w:rPr>
                <w:rFonts w:hint="eastAsia" w:ascii="宋体" w:hAnsi="宋体" w:eastAsia="宋体" w:cs="宋体"/>
                <w:sz w:val="18"/>
                <w:szCs w:val="18"/>
              </w:rPr>
              <w:t>3、加强道德培训，提高员工的素质等；</w:t>
            </w:r>
          </w:p>
          <w:p>
            <w:pPr>
              <w:spacing w:line="360" w:lineRule="auto"/>
              <w:ind w:left="105" w:hanging="90" w:hangingChars="50"/>
              <w:rPr>
                <w:rFonts w:hint="eastAsia" w:ascii="宋体" w:hAnsi="宋体" w:eastAsia="宋体" w:cs="宋体"/>
                <w:sz w:val="18"/>
                <w:szCs w:val="18"/>
              </w:rPr>
            </w:pPr>
            <w:r>
              <w:rPr>
                <w:rFonts w:hint="eastAsia" w:ascii="宋体" w:hAnsi="宋体" w:eastAsia="宋体" w:cs="宋体"/>
                <w:sz w:val="18"/>
                <w:szCs w:val="18"/>
              </w:rPr>
              <w:t>4、制定《员工道德行为规范》，并进行轮训、学习；</w:t>
            </w:r>
          </w:p>
          <w:p>
            <w:pPr>
              <w:spacing w:line="360" w:lineRule="auto"/>
              <w:rPr>
                <w:rFonts w:hint="eastAsia" w:ascii="宋体" w:hAnsi="宋体" w:eastAsia="宋体" w:cs="宋体"/>
                <w:sz w:val="18"/>
                <w:szCs w:val="18"/>
              </w:rPr>
            </w:pPr>
            <w:r>
              <w:rPr>
                <w:rFonts w:hint="eastAsia" w:ascii="宋体" w:hAnsi="宋体" w:eastAsia="宋体" w:cs="宋体"/>
                <w:sz w:val="18"/>
                <w:szCs w:val="18"/>
              </w:rPr>
              <w:t>5、开展评先进活动；</w:t>
            </w:r>
          </w:p>
          <w:p>
            <w:pPr>
              <w:spacing w:line="360" w:lineRule="auto"/>
              <w:ind w:left="210" w:hanging="180" w:hangingChars="100"/>
              <w:rPr>
                <w:rFonts w:hint="eastAsia" w:ascii="宋体" w:hAnsi="宋体" w:eastAsia="宋体" w:cs="宋体"/>
                <w:sz w:val="18"/>
                <w:szCs w:val="18"/>
              </w:rPr>
            </w:pPr>
            <w:r>
              <w:rPr>
                <w:rFonts w:hint="eastAsia" w:ascii="宋体" w:hAnsi="宋体" w:eastAsia="宋体" w:cs="宋体"/>
                <w:sz w:val="18"/>
                <w:szCs w:val="18"/>
              </w:rPr>
              <w:t>6、制订《员工手册》《公司章程》，开展、岗前培训等。</w:t>
            </w:r>
          </w:p>
        </w:tc>
        <w:tc>
          <w:tcPr>
            <w:tcW w:w="1900"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实行职工代表大会制度，调查员工满意度，员工培训时间等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4107" w:hRule="atLeast"/>
          <w:jc w:val="center"/>
        </w:trPr>
        <w:tc>
          <w:tcPr>
            <w:tcW w:w="653" w:type="dxa"/>
            <w:tcBorders>
              <w:tl2br w:val="nil"/>
              <w:tr2bl w:val="nil"/>
            </w:tcBorders>
            <w:shd w:val="clear" w:color="auto" w:fill="FFFFFF"/>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企业之间</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供应商</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经销商</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销售部</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采购部</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1、严格按照公司制定的《合同处理控制程序》、《采购管理制度》等规章制度与供应商和经销商展开业务关系；</w:t>
            </w:r>
          </w:p>
          <w:p>
            <w:pPr>
              <w:spacing w:line="360" w:lineRule="auto"/>
              <w:rPr>
                <w:rFonts w:hint="eastAsia" w:ascii="宋体" w:hAnsi="宋体" w:eastAsia="宋体" w:cs="宋体"/>
                <w:sz w:val="18"/>
                <w:szCs w:val="18"/>
              </w:rPr>
            </w:pPr>
            <w:r>
              <w:rPr>
                <w:rFonts w:hint="eastAsia" w:ascii="宋体" w:hAnsi="宋体" w:eastAsia="宋体" w:cs="宋体"/>
                <w:sz w:val="18"/>
                <w:szCs w:val="18"/>
              </w:rPr>
              <w:t>2、价格适中、交货准时、产品质量稳定、及时交付；</w:t>
            </w:r>
          </w:p>
          <w:p>
            <w:pPr>
              <w:spacing w:line="360" w:lineRule="auto"/>
              <w:rPr>
                <w:rFonts w:hint="eastAsia" w:ascii="宋体" w:hAnsi="宋体" w:eastAsia="宋体" w:cs="宋体"/>
                <w:sz w:val="18"/>
                <w:szCs w:val="18"/>
              </w:rPr>
            </w:pPr>
            <w:r>
              <w:rPr>
                <w:rFonts w:hint="eastAsia" w:ascii="宋体" w:hAnsi="宋体" w:eastAsia="宋体" w:cs="宋体"/>
                <w:sz w:val="18"/>
                <w:szCs w:val="18"/>
              </w:rPr>
              <w:t>3、加强产品质量控制，提高优质产品，及时应对顾客投诉等；</w:t>
            </w:r>
          </w:p>
          <w:p>
            <w:pPr>
              <w:spacing w:line="360" w:lineRule="auto"/>
              <w:rPr>
                <w:rFonts w:hint="eastAsia" w:ascii="宋体" w:hAnsi="宋体" w:eastAsia="宋体" w:cs="宋体"/>
                <w:sz w:val="18"/>
                <w:szCs w:val="18"/>
              </w:rPr>
            </w:pPr>
            <w:r>
              <w:rPr>
                <w:rFonts w:hint="eastAsia" w:ascii="宋体" w:hAnsi="宋体" w:eastAsia="宋体" w:cs="宋体"/>
                <w:sz w:val="18"/>
                <w:szCs w:val="18"/>
              </w:rPr>
              <w:t>4、在采购上实行公开、公平、公正的“招标采购”制度。</w:t>
            </w:r>
          </w:p>
        </w:tc>
        <w:tc>
          <w:tcPr>
            <w:tcW w:w="1900"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合同违约率，索赔金额，顾客满意度等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745" w:hRule="atLeast"/>
          <w:jc w:val="center"/>
        </w:trPr>
        <w:tc>
          <w:tcPr>
            <w:tcW w:w="653" w:type="dxa"/>
            <w:vMerge w:val="restart"/>
            <w:tcBorders>
              <w:tl2br w:val="nil"/>
              <w:tr2bl w:val="nil"/>
            </w:tcBorders>
            <w:shd w:val="clear" w:color="auto" w:fill="FFFFFF"/>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企业外部</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股东</w:t>
            </w:r>
          </w:p>
        </w:tc>
        <w:tc>
          <w:tcPr>
            <w:tcW w:w="1276" w:type="dxa"/>
            <w:vMerge w:val="restart"/>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财务部</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w:t>
            </w:r>
            <w:r>
              <w:rPr>
                <w:rFonts w:hint="eastAsia" w:ascii="宋体" w:hAnsi="宋体" w:eastAsia="宋体" w:cs="宋体"/>
                <w:sz w:val="18"/>
                <w:szCs w:val="18"/>
                <w:lang w:eastAsia="zh-CN"/>
              </w:rPr>
              <w:t>公司</w:t>
            </w:r>
            <w:r>
              <w:rPr>
                <w:rFonts w:hint="eastAsia" w:ascii="宋体" w:hAnsi="宋体" w:eastAsia="宋体" w:cs="宋体"/>
                <w:sz w:val="18"/>
                <w:szCs w:val="18"/>
              </w:rPr>
              <w:t>要求确保信息披露的及时性和透明性，接受股东及公众监督</w:t>
            </w:r>
          </w:p>
        </w:tc>
        <w:tc>
          <w:tcPr>
            <w:tcW w:w="190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重大信息披露及时性与准确性</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745" w:hRule="atLeast"/>
          <w:jc w:val="center"/>
        </w:trPr>
        <w:tc>
          <w:tcPr>
            <w:tcW w:w="653" w:type="dxa"/>
            <w:vMerge w:val="continue"/>
            <w:tcBorders>
              <w:tl2br w:val="nil"/>
              <w:tr2bl w:val="nil"/>
            </w:tcBorders>
            <w:shd w:val="clear" w:color="auto" w:fill="FFFFFF"/>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政府</w:t>
            </w:r>
          </w:p>
        </w:tc>
        <w:tc>
          <w:tcPr>
            <w:tcW w:w="1276" w:type="dxa"/>
            <w:vMerge w:val="continue"/>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1、依法纳税、廉洁自律；</w:t>
            </w:r>
          </w:p>
          <w:p>
            <w:pPr>
              <w:spacing w:line="360" w:lineRule="auto"/>
              <w:rPr>
                <w:rFonts w:hint="eastAsia" w:ascii="宋体" w:hAnsi="宋体" w:eastAsia="宋体" w:cs="宋体"/>
                <w:sz w:val="18"/>
                <w:szCs w:val="18"/>
              </w:rPr>
            </w:pPr>
            <w:r>
              <w:rPr>
                <w:rFonts w:hint="eastAsia" w:ascii="宋体" w:hAnsi="宋体" w:eastAsia="宋体" w:cs="宋体"/>
                <w:sz w:val="18"/>
                <w:szCs w:val="18"/>
              </w:rPr>
              <w:t>2、严格按照国家的税法、会计法等法律法规进行操作等。</w:t>
            </w:r>
          </w:p>
        </w:tc>
        <w:tc>
          <w:tcPr>
            <w:tcW w:w="190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纳税金额等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359" w:hRule="atLeast"/>
          <w:jc w:val="center"/>
        </w:trPr>
        <w:tc>
          <w:tcPr>
            <w:tcW w:w="653" w:type="dxa"/>
            <w:vMerge w:val="continue"/>
            <w:tcBorders>
              <w:tl2br w:val="nil"/>
              <w:tr2bl w:val="nil"/>
            </w:tcBorders>
            <w:shd w:val="clear" w:color="auto" w:fill="auto"/>
            <w:noWrap w:val="0"/>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top"/>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银行</w:t>
            </w:r>
          </w:p>
        </w:tc>
        <w:tc>
          <w:tcPr>
            <w:tcW w:w="1276" w:type="dxa"/>
            <w:vMerge w:val="continue"/>
            <w:tcBorders>
              <w:tl2br w:val="nil"/>
              <w:tr2bl w:val="nil"/>
            </w:tcBorders>
            <w:shd w:val="clear" w:color="auto" w:fill="FFFFFF"/>
            <w:noWrap w:val="0"/>
            <w:tcMar>
              <w:top w:w="28" w:type="dxa"/>
              <w:left w:w="0" w:type="dxa"/>
              <w:bottom w:w="28" w:type="dxa"/>
              <w:right w:w="0" w:type="dxa"/>
            </w:tcMar>
            <w:vAlign w:val="top"/>
          </w:tcPr>
          <w:p>
            <w:pPr>
              <w:spacing w:line="360" w:lineRule="auto"/>
              <w:jc w:val="center"/>
              <w:rPr>
                <w:rFonts w:hint="eastAsia" w:ascii="宋体" w:hAnsi="宋体" w:eastAsia="宋体" w:cs="宋体"/>
                <w:sz w:val="18"/>
                <w:szCs w:val="18"/>
              </w:rPr>
            </w:pP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内部及外来会计事务所审计。</w:t>
            </w:r>
          </w:p>
        </w:tc>
        <w:tc>
          <w:tcPr>
            <w:tcW w:w="190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账本的准确度</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wBefore w:w="0" w:type="dxa"/>
          <w:wAfter w:w="0" w:type="dxa"/>
          <w:cantSplit/>
          <w:trHeight w:val="1191" w:hRule="atLeast"/>
          <w:jc w:val="center"/>
        </w:trPr>
        <w:tc>
          <w:tcPr>
            <w:tcW w:w="653" w:type="dxa"/>
            <w:vMerge w:val="continue"/>
            <w:tcBorders>
              <w:tl2br w:val="nil"/>
              <w:tr2bl w:val="nil"/>
            </w:tcBorders>
            <w:shd w:val="clear" w:color="auto" w:fill="auto"/>
            <w:noWrap w:val="0"/>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社会公众</w:t>
            </w:r>
          </w:p>
        </w:tc>
        <w:tc>
          <w:tcPr>
            <w:tcW w:w="1276" w:type="dxa"/>
            <w:vMerge w:val="continue"/>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1、诚信经营、保护公众利益；</w:t>
            </w:r>
          </w:p>
          <w:p>
            <w:pPr>
              <w:spacing w:line="360" w:lineRule="auto"/>
              <w:rPr>
                <w:rFonts w:hint="eastAsia" w:ascii="宋体" w:hAnsi="宋体" w:eastAsia="宋体" w:cs="宋体"/>
                <w:sz w:val="18"/>
                <w:szCs w:val="18"/>
              </w:rPr>
            </w:pPr>
            <w:r>
              <w:rPr>
                <w:rFonts w:hint="eastAsia" w:ascii="宋体" w:hAnsi="宋体" w:eastAsia="宋体" w:cs="宋体"/>
                <w:sz w:val="18"/>
                <w:szCs w:val="18"/>
              </w:rPr>
              <w:t>2、开展清洁生产，保护环境等。</w:t>
            </w:r>
          </w:p>
        </w:tc>
        <w:tc>
          <w:tcPr>
            <w:tcW w:w="190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捐赠金额等</w:t>
            </w:r>
          </w:p>
        </w:tc>
      </w:tr>
    </w:tbl>
    <w:p>
      <w:pPr>
        <w:spacing w:line="360" w:lineRule="auto"/>
        <w:ind w:firstLine="485" w:firstLineChars="202"/>
        <w:rPr>
          <w:rFonts w:ascii="宋体" w:hAnsi="宋体"/>
          <w:sz w:val="24"/>
        </w:rPr>
      </w:pPr>
      <w:r>
        <w:rPr>
          <w:rFonts w:hint="eastAsia" w:ascii="宋体" w:hAnsi="宋体"/>
          <w:b/>
          <w:sz w:val="24"/>
        </w:rPr>
        <w:t>质量安全方面</w:t>
      </w:r>
      <w:r>
        <w:rPr>
          <w:rFonts w:hint="eastAsia" w:ascii="宋体" w:hAnsi="宋体"/>
          <w:sz w:val="24"/>
        </w:rPr>
        <w:t>：公司本着</w:t>
      </w:r>
      <w:r>
        <w:rPr>
          <w:rFonts w:hint="eastAsia" w:ascii="宋体" w:hAnsi="宋体" w:eastAsia="Calibri" w:cs="Times New Roman"/>
          <w:sz w:val="24"/>
        </w:rPr>
        <w:t>“</w:t>
      </w:r>
      <w:r>
        <w:rPr>
          <w:rFonts w:hint="eastAsia" w:ascii="宋体" w:hAnsi="宋体" w:eastAsia="Calibri" w:cs="Times New Roman"/>
          <w:sz w:val="24"/>
          <w:lang w:val="en-US" w:eastAsia="zh-CN"/>
        </w:rPr>
        <w:t>安全守法，科学管理；优质服务，和谐发展</w:t>
      </w:r>
      <w:r>
        <w:rPr>
          <w:rFonts w:hint="eastAsia" w:ascii="宋体" w:hAnsi="宋体" w:eastAsia="Calibri" w:cs="Times New Roman"/>
          <w:sz w:val="24"/>
        </w:rPr>
        <w:t>”的</w:t>
      </w:r>
      <w:r>
        <w:rPr>
          <w:rFonts w:hint="eastAsia" w:ascii="宋体" w:hAnsi="宋体"/>
          <w:sz w:val="24"/>
        </w:rPr>
        <w:t>质量方针，积极履行质量安全职责，严格执行行业标准和法律法规，定期通过ISO9001：2015质量管理体系复审，建立健全公司的质量管理体系和质量保证体系，使</w:t>
      </w:r>
      <w:r>
        <w:rPr>
          <w:rFonts w:hint="eastAsia" w:ascii="宋体" w:hAnsi="宋体"/>
          <w:sz w:val="24"/>
          <w:szCs w:val="24"/>
          <w:lang w:val="en-US" w:eastAsia="zh-CN"/>
        </w:rPr>
        <w:t>浙江华晟</w:t>
      </w:r>
      <w:r>
        <w:rPr>
          <w:rFonts w:hint="eastAsia" w:ascii="宋体" w:hAnsi="宋体"/>
          <w:sz w:val="24"/>
        </w:rPr>
        <w:t>的质量管理和质量保证体系持续完善。公司始终坚信优越的性能和可靠的产品质量是产品竞争力的关键。质量形成于产品寿命周期的全过程，包括</w:t>
      </w:r>
      <w:r>
        <w:rPr>
          <w:rFonts w:hint="eastAsia" w:ascii="宋体" w:hAnsi="宋体" w:eastAsia="宋体"/>
          <w:sz w:val="24"/>
          <w:lang w:val="en-US" w:eastAsia="zh-CN"/>
        </w:rPr>
        <w:t>设计研发</w:t>
      </w:r>
      <w:r>
        <w:rPr>
          <w:rFonts w:hint="eastAsia" w:ascii="宋体" w:hAnsi="宋体"/>
          <w:sz w:val="24"/>
        </w:rPr>
        <w:t>、试制、试验、制造、分销、服务和使用全过程。因此，必须对产品寿命周期全过程中影响产品质量的各种因素，始终处于受控状态；必须实行全流程的、全员参加的全面质量管理，使公司有能力持续提供符合质量标准和顾客满意的产品，树立品质超群的企业形象，全心全意地为顾客服务。</w:t>
      </w:r>
    </w:p>
    <w:p>
      <w:pPr>
        <w:spacing w:line="360" w:lineRule="auto"/>
        <w:ind w:firstLine="480" w:firstLineChars="200"/>
        <w:rPr>
          <w:rFonts w:hint="eastAsia" w:ascii="宋体" w:hAnsi="宋体"/>
          <w:sz w:val="24"/>
        </w:rPr>
      </w:pPr>
      <w:r>
        <w:rPr>
          <w:rFonts w:hint="eastAsia" w:ascii="宋体" w:hAnsi="宋体"/>
          <w:b/>
          <w:sz w:val="24"/>
        </w:rPr>
        <w:t>环境保护方面</w:t>
      </w:r>
      <w:r>
        <w:rPr>
          <w:rFonts w:hint="eastAsia" w:ascii="宋体" w:hAnsi="宋体"/>
          <w:sz w:val="24"/>
        </w:rPr>
        <w:t>：自实施</w:t>
      </w:r>
      <w:r>
        <w:rPr>
          <w:rFonts w:hint="eastAsia" w:ascii="宋体" w:hAnsi="宋体"/>
          <w:sz w:val="24"/>
          <w:lang w:val="en-US" w:eastAsia="zh-CN"/>
        </w:rPr>
        <w:t>环境管理体系</w:t>
      </w:r>
      <w:r>
        <w:rPr>
          <w:rFonts w:hint="eastAsia" w:ascii="宋体" w:hAnsi="宋体"/>
          <w:sz w:val="24"/>
        </w:rPr>
        <w:t>以来，公司对厂区及厂房内外环境进行了大幅度的改造。近年来公司投入大量资金用于改善车间作业环境，如在耗资</w:t>
      </w:r>
      <w:r>
        <w:rPr>
          <w:rFonts w:hint="eastAsia" w:ascii="宋体" w:hAnsi="宋体"/>
          <w:sz w:val="24"/>
          <w:lang w:val="en-US" w:eastAsia="zh-CN"/>
        </w:rPr>
        <w:t>10</w:t>
      </w:r>
      <w:r>
        <w:rPr>
          <w:rFonts w:hint="eastAsia" w:ascii="宋体" w:hAnsi="宋体"/>
          <w:sz w:val="24"/>
        </w:rPr>
        <w:t>多万对车间增设空调</w:t>
      </w:r>
      <w:r>
        <w:rPr>
          <w:rFonts w:hint="eastAsia" w:ascii="宋体" w:hAnsi="宋体"/>
          <w:sz w:val="24"/>
          <w:lang w:val="en-US" w:eastAsia="zh-CN"/>
        </w:rPr>
        <w:t>15</w:t>
      </w:r>
      <w:r>
        <w:rPr>
          <w:rFonts w:hint="eastAsia" w:ascii="宋体" w:hAnsi="宋体"/>
          <w:sz w:val="24"/>
        </w:rPr>
        <w:t>台，每年出资</w:t>
      </w:r>
      <w:r>
        <w:rPr>
          <w:rFonts w:hint="eastAsia" w:ascii="宋体" w:hAnsi="宋体"/>
          <w:sz w:val="24"/>
          <w:lang w:val="en-US" w:eastAsia="zh-CN"/>
        </w:rPr>
        <w:t>10</w:t>
      </w:r>
      <w:r>
        <w:rPr>
          <w:rFonts w:hint="eastAsia" w:ascii="宋体" w:hAnsi="宋体"/>
          <w:sz w:val="24"/>
        </w:rPr>
        <w:t>多万元购买苗木花草，对公司绿化区做大面积修整，增加花木品种，建设错季景观，努力实现“三季有花，四季常绿”的目标要求，厂区绿化率达</w:t>
      </w:r>
      <w:r>
        <w:rPr>
          <w:rFonts w:hint="eastAsia" w:ascii="宋体" w:hAnsi="宋体"/>
          <w:sz w:val="24"/>
          <w:lang w:val="en-US" w:eastAsia="zh-CN"/>
        </w:rPr>
        <w:t>30</w:t>
      </w:r>
      <w:r>
        <w:rPr>
          <w:rFonts w:hint="eastAsia" w:ascii="宋体" w:hAnsi="宋体"/>
          <w:sz w:val="24"/>
        </w:rPr>
        <w:t>%以上。同时坚持推行清洁生产，深化节能降耗，走高效率、低投入、低消耗、低排放的发展新路子，实现企业和社会双赢，促进经济、社会、环境的可持续发展。</w:t>
      </w:r>
    </w:p>
    <w:p>
      <w:pPr>
        <w:spacing w:line="360" w:lineRule="auto"/>
        <w:ind w:firstLine="480" w:firstLineChars="200"/>
        <w:rPr>
          <w:rFonts w:ascii="宋体" w:hAnsi="宋体"/>
          <w:sz w:val="24"/>
        </w:rPr>
      </w:pPr>
      <w:r>
        <w:rPr>
          <w:rFonts w:hint="eastAsia" w:ascii="宋体" w:hAnsi="宋体"/>
          <w:b/>
          <w:sz w:val="24"/>
        </w:rPr>
        <w:t>节能降耗方面：</w:t>
      </w:r>
      <w:r>
        <w:rPr>
          <w:rFonts w:hint="eastAsia" w:ascii="宋体" w:hAnsi="宋体"/>
          <w:sz w:val="24"/>
        </w:rPr>
        <w:t>作为富有责任感的企业，公司将其作为一项重要工作来抓，并列入企业的考核体系。</w:t>
      </w:r>
      <w:r>
        <w:rPr>
          <w:rFonts w:hint="eastAsia" w:ascii="宋体" w:hAnsi="宋体"/>
          <w:sz w:val="24"/>
          <w:szCs w:val="24"/>
          <w:lang w:val="en-US" w:eastAsia="zh-CN"/>
        </w:rPr>
        <w:t>浙江华晟</w:t>
      </w:r>
      <w:r>
        <w:rPr>
          <w:rFonts w:hint="eastAsia" w:ascii="宋体" w:hAnsi="宋体"/>
          <w:sz w:val="24"/>
        </w:rPr>
        <w:t xml:space="preserve">一直以“节能、降耗、减污、增效”，做好环保工作。公司成立了“节能降耗工作领导小组”，强力推进节能降耗工作，对落后生产设备、工艺流程进行技术改造，淘汰高污染、高能耗高物耗的设备，引进使用环保、低耗的高科技产品。 </w:t>
      </w:r>
    </w:p>
    <w:p>
      <w:pPr>
        <w:spacing w:line="360" w:lineRule="auto"/>
        <w:ind w:firstLine="480" w:firstLineChars="200"/>
        <w:rPr>
          <w:rFonts w:hint="eastAsia" w:ascii="宋体" w:hAnsi="宋体"/>
          <w:sz w:val="24"/>
        </w:rPr>
      </w:pPr>
      <w:r>
        <w:rPr>
          <w:rFonts w:hint="eastAsia" w:ascii="宋体" w:hAnsi="宋体"/>
          <w:b/>
          <w:sz w:val="24"/>
        </w:rPr>
        <w:t>安全生产方面：</w:t>
      </w:r>
      <w:r>
        <w:rPr>
          <w:rFonts w:hint="eastAsia" w:ascii="宋体" w:hAnsi="宋体"/>
          <w:sz w:val="24"/>
        </w:rPr>
        <w:t>公司一惯遵</w:t>
      </w:r>
      <w:r>
        <w:rPr>
          <w:rFonts w:hint="eastAsia" w:ascii="宋体" w:hAnsi="宋体" w:eastAsia="Calibri" w:cs="Times New Roman"/>
          <w:sz w:val="24"/>
        </w:rPr>
        <w:t>循“以人为本、安全第一，预防为主，文明健康”的</w:t>
      </w:r>
      <w:r>
        <w:rPr>
          <w:rFonts w:hint="eastAsia" w:ascii="宋体" w:hAnsi="宋体"/>
          <w:sz w:val="24"/>
        </w:rPr>
        <w:t>工作方针，为避免安全事故的发生和确保员工的人身安全，公司通过制订、完善资产保全、防火防盗管理制度，确保企业财产安全。同时，从培养员工安全意识、开展三级安全教育入手，针对不同岗位的安全特点，采取岗位安全培训、配备劳动保护用品、为全体员工缴纳养老和工伤保险等安全防范措施，确保所有员工掌握岗位需求的安全知识和技能，以保证职工的人身安全。公司每年安排特殊工种员工进行一次免费体检。</w:t>
      </w:r>
    </w:p>
    <w:p>
      <w:pPr>
        <w:spacing w:line="360" w:lineRule="auto"/>
        <w:rPr>
          <w:rFonts w:hint="eastAsia" w:ascii="宋体" w:hAnsi="宋体"/>
          <w:spacing w:val="-4"/>
          <w:sz w:val="24"/>
        </w:rPr>
      </w:pPr>
      <w:r>
        <w:rPr>
          <w:rFonts w:hint="eastAsia" w:ascii="宋体" w:hAnsi="宋体"/>
          <w:sz w:val="24"/>
        </w:rPr>
        <w:t>　　</w:t>
      </w:r>
      <w:r>
        <w:rPr>
          <w:rFonts w:hint="eastAsia" w:ascii="宋体" w:hAnsi="宋体"/>
          <w:spacing w:val="-4"/>
          <w:sz w:val="24"/>
        </w:rPr>
        <w:t>特别要指出的是，我们通过一套体制激发员工自发地参与到公司安全管理体系建设中来，比如我们确立的义务消防员制度以及公司广泛开展的</w:t>
      </w:r>
      <w:r>
        <w:rPr>
          <w:rFonts w:hint="eastAsia" w:ascii="宋体" w:hAnsi="宋体" w:eastAsia="宋体"/>
          <w:spacing w:val="-4"/>
          <w:sz w:val="24"/>
          <w:lang w:val="en-US" w:eastAsia="zh-CN"/>
        </w:rPr>
        <w:t>5</w:t>
      </w:r>
      <w:r>
        <w:rPr>
          <w:rFonts w:hint="eastAsia" w:ascii="宋体" w:hAnsi="宋体"/>
          <w:spacing w:val="-4"/>
          <w:sz w:val="24"/>
        </w:rPr>
        <w:t>S运动，通过每月</w:t>
      </w:r>
      <w:r>
        <w:rPr>
          <w:rFonts w:hint="eastAsia" w:ascii="宋体" w:hAnsi="宋体" w:eastAsia="宋体"/>
          <w:spacing w:val="-4"/>
          <w:sz w:val="24"/>
          <w:lang w:val="en-US" w:eastAsia="zh-CN"/>
        </w:rPr>
        <w:t>5</w:t>
      </w:r>
      <w:r>
        <w:rPr>
          <w:rFonts w:hint="eastAsia" w:ascii="宋体" w:hAnsi="宋体"/>
          <w:spacing w:val="-4"/>
          <w:sz w:val="24"/>
        </w:rPr>
        <w:t>S评比活动，让员工深入参与各项活动，营造更深入人心的安全文化。</w:t>
      </w:r>
    </w:p>
    <w:p>
      <w:pPr>
        <w:spacing w:line="360" w:lineRule="auto"/>
        <w:ind w:firstLine="472" w:firstLineChars="200"/>
        <w:rPr>
          <w:rFonts w:hint="eastAsia" w:ascii="宋体" w:hAnsi="宋体"/>
          <w:spacing w:val="-2"/>
          <w:sz w:val="24"/>
        </w:rPr>
      </w:pPr>
      <w:r>
        <w:rPr>
          <w:rFonts w:hint="eastAsia" w:ascii="宋体" w:hAnsi="宋体"/>
          <w:spacing w:val="-2"/>
          <w:sz w:val="24"/>
        </w:rPr>
        <w:t>成长和发展对员工来说是至关重要的。公司重视人才引进、培养，为员工提供职业生涯规划，组织各类企业培训，以提升员工素质，20</w:t>
      </w:r>
      <w:r>
        <w:rPr>
          <w:rFonts w:hint="eastAsia" w:ascii="宋体" w:hAnsi="宋体" w:eastAsia="宋体"/>
          <w:spacing w:val="-2"/>
          <w:sz w:val="24"/>
          <w:lang w:val="en-US" w:eastAsia="zh-CN"/>
        </w:rPr>
        <w:t>20</w:t>
      </w:r>
      <w:r>
        <w:rPr>
          <w:rFonts w:hint="eastAsia" w:ascii="宋体" w:hAnsi="宋体"/>
          <w:spacing w:val="-2"/>
          <w:sz w:val="24"/>
        </w:rPr>
        <w:t>年底，公司共投入培训经费15多万元，培训1000多人次，累计培训课时达 600多小时。本着“人岗匹配，人尽其才”的基本原则，形成了管理和专业两种职业发展通道，给予员工职业发展方向的选择权，保证公司人力资源优化配置为员工创造良好的晋升渠道，实现员工与企业的共同成长。</w:t>
      </w:r>
    </w:p>
    <w:p>
      <w:pPr>
        <w:spacing w:line="360" w:lineRule="auto"/>
        <w:ind w:firstLine="553"/>
        <w:rPr>
          <w:rFonts w:hint="eastAsia" w:ascii="黑体" w:hAnsi="黑体" w:eastAsia="黑体"/>
          <w:b/>
          <w:sz w:val="28"/>
          <w:szCs w:val="21"/>
        </w:rPr>
      </w:pPr>
      <w:r>
        <w:rPr>
          <w:rFonts w:hint="eastAsia" w:ascii="黑体" w:hAnsi="黑体" w:eastAsia="黑体"/>
          <w:b/>
          <w:sz w:val="28"/>
          <w:szCs w:val="21"/>
        </w:rPr>
        <w:t>四、关注员工的文化建设和健康</w:t>
      </w:r>
    </w:p>
    <w:p>
      <w:pPr>
        <w:spacing w:line="360" w:lineRule="auto"/>
        <w:ind w:firstLine="530" w:firstLineChars="221"/>
        <w:rPr>
          <w:rFonts w:hint="eastAsia" w:ascii="宋体" w:hAnsi="宋体"/>
          <w:sz w:val="24"/>
        </w:rPr>
      </w:pPr>
      <w:r>
        <w:rPr>
          <w:rFonts w:hint="eastAsia" w:ascii="宋体" w:hAnsi="宋体"/>
          <w:sz w:val="24"/>
        </w:rPr>
        <w:t>除了生产上的安全关注，公司也十分重视员工的文化建设和健康。这主要体现在我们努力为员工创造舒适的工作环境和生活环境，如办公室和车间、食堂、运动和休闲、阅读及娱乐等等。除了硬件保障之外，我们还通过诸如劳动技能竞赛、员工聚餐和文娱活动等员工活动来调动员工的工作激情，丰富员工的业余生活，获得了员工的广泛好评。</w:t>
      </w:r>
    </w:p>
    <w:p>
      <w:pPr>
        <w:pStyle w:val="12"/>
        <w:adjustRightInd w:val="0"/>
        <w:spacing w:after="0" w:line="360" w:lineRule="auto"/>
        <w:ind w:left="0" w:leftChars="0" w:firstLine="480" w:firstLineChars="200"/>
        <w:rPr>
          <w:rFonts w:ascii="宋体" w:hAnsi="宋体"/>
          <w:sz w:val="24"/>
        </w:rPr>
      </w:pPr>
      <w:r>
        <w:rPr>
          <w:rFonts w:hint="eastAsia" w:ascii="宋体" w:hAnsi="宋体"/>
          <w:sz w:val="24"/>
        </w:rPr>
        <w:t>关注员工身心健康，组织员工座谈、文艺晚会等丰富业余生活，帮助员工解决家庭困难，营造了“一人有难 人人帮助”的良好氛围。近</w:t>
      </w:r>
      <w:r>
        <w:rPr>
          <w:rFonts w:hint="eastAsia" w:ascii="宋体" w:hAnsi="宋体"/>
          <w:sz w:val="24"/>
          <w:lang w:val="en-US" w:eastAsia="zh-CN"/>
        </w:rPr>
        <w:t>三</w:t>
      </w:r>
      <w:r>
        <w:rPr>
          <w:rFonts w:hint="eastAsia" w:ascii="宋体" w:hAnsi="宋体"/>
          <w:sz w:val="24"/>
        </w:rPr>
        <w:t>年，公司累计资助生病、家里突发意外的员工及家属共计</w:t>
      </w:r>
      <w:r>
        <w:rPr>
          <w:rFonts w:hint="eastAsia" w:ascii="宋体" w:hAnsi="宋体"/>
          <w:sz w:val="24"/>
          <w:lang w:val="en-US" w:eastAsia="zh-CN"/>
        </w:rPr>
        <w:t>10余</w:t>
      </w:r>
      <w:r>
        <w:rPr>
          <w:rFonts w:hint="eastAsia" w:ascii="宋体" w:hAnsi="宋体"/>
          <w:sz w:val="24"/>
        </w:rPr>
        <w:t>人，累计资助金额</w:t>
      </w:r>
      <w:r>
        <w:rPr>
          <w:rFonts w:hint="eastAsia" w:ascii="宋体" w:hAnsi="宋体" w:eastAsia="宋体"/>
          <w:sz w:val="24"/>
          <w:lang w:val="en-US" w:eastAsia="zh-CN"/>
        </w:rPr>
        <w:t>1</w:t>
      </w:r>
      <w:r>
        <w:rPr>
          <w:rFonts w:hint="eastAsia" w:ascii="宋体" w:hAnsi="宋体"/>
          <w:sz w:val="24"/>
          <w:lang w:val="en-US" w:eastAsia="zh-CN"/>
        </w:rPr>
        <w:t>5</w:t>
      </w:r>
      <w:r>
        <w:rPr>
          <w:rFonts w:hint="eastAsia" w:ascii="宋体" w:hAnsi="宋体"/>
          <w:sz w:val="24"/>
          <w:lang w:eastAsia="zh-CN"/>
        </w:rPr>
        <w:t>多</w:t>
      </w:r>
      <w:r>
        <w:rPr>
          <w:rFonts w:hint="eastAsia" w:ascii="宋体" w:hAnsi="宋体"/>
          <w:sz w:val="24"/>
        </w:rPr>
        <w:t>万元。并针对外地员工实施了“三安工程”，即让外地员工在</w:t>
      </w:r>
      <w:r>
        <w:rPr>
          <w:rFonts w:hint="eastAsia" w:ascii="宋体" w:hAnsi="宋体" w:eastAsia="宋体"/>
          <w:sz w:val="24"/>
          <w:lang w:val="en-US" w:eastAsia="zh-CN"/>
        </w:rPr>
        <w:t>武义县</w:t>
      </w:r>
      <w:r>
        <w:rPr>
          <w:rFonts w:hint="eastAsia" w:ascii="宋体" w:hAnsi="宋体"/>
          <w:sz w:val="24"/>
        </w:rPr>
        <w:t>“安下身来、安下心来、安下家来”。</w:t>
      </w:r>
    </w:p>
    <w:p>
      <w:pPr>
        <w:pStyle w:val="12"/>
        <w:adjustRightInd w:val="0"/>
        <w:spacing w:after="0" w:line="360" w:lineRule="auto"/>
        <w:ind w:left="0" w:leftChars="0" w:firstLine="480" w:firstLineChars="200"/>
        <w:rPr>
          <w:rFonts w:hint="eastAsia" w:ascii="宋体" w:hAnsi="宋体"/>
          <w:sz w:val="24"/>
        </w:rPr>
      </w:pPr>
      <w:r>
        <w:rPr>
          <w:rFonts w:ascii="宋体" w:hAnsi="宋体"/>
          <w:sz w:val="24"/>
        </w:rPr>
        <w:t>公司坚持</w:t>
      </w:r>
      <w:r>
        <w:rPr>
          <w:rFonts w:hint="eastAsia" w:ascii="宋体" w:hAnsi="宋体"/>
          <w:sz w:val="24"/>
        </w:rPr>
        <w:t>“</w:t>
      </w:r>
      <w:r>
        <w:rPr>
          <w:rFonts w:ascii="宋体" w:hAnsi="宋体"/>
          <w:sz w:val="24"/>
        </w:rPr>
        <w:t>以人为本</w:t>
      </w:r>
      <w:r>
        <w:rPr>
          <w:rFonts w:hint="eastAsia" w:ascii="宋体" w:hAnsi="宋体"/>
          <w:sz w:val="24"/>
        </w:rPr>
        <w:t>”</w:t>
      </w:r>
      <w:r>
        <w:rPr>
          <w:rFonts w:ascii="宋体" w:hAnsi="宋体"/>
          <w:sz w:val="24"/>
        </w:rPr>
        <w:t>，定期召开员工代表座谈会，及时解决员工关心问题；保障员工</w:t>
      </w:r>
      <w:r>
        <w:rPr>
          <w:rFonts w:hint="eastAsia" w:ascii="宋体" w:hAnsi="宋体"/>
          <w:sz w:val="24"/>
        </w:rPr>
        <w:t>合理的</w:t>
      </w:r>
      <w:r>
        <w:rPr>
          <w:rFonts w:ascii="宋体" w:hAnsi="宋体"/>
          <w:sz w:val="24"/>
        </w:rPr>
        <w:t>薪酬增长，持续为员工改善伙食；逐步降低一线员工劳动强度，员工奖惩公开透明，遏制不公；对困难员工给予温暖和人性关怀，如发放困难补助，增强员工对公司认同感和归宿感。</w:t>
      </w:r>
    </w:p>
    <w:p>
      <w:pPr>
        <w:spacing w:line="360" w:lineRule="auto"/>
        <w:ind w:firstLine="480" w:firstLineChars="200"/>
        <w:rPr>
          <w:rFonts w:hint="eastAsia" w:ascii="宋体" w:hAnsi="宋体"/>
          <w:sz w:val="24"/>
        </w:rPr>
      </w:pPr>
      <w:r>
        <w:rPr>
          <w:rFonts w:hint="eastAsia" w:ascii="宋体" w:hAnsi="宋体" w:eastAsia="宋体"/>
          <w:sz w:val="24"/>
          <w:lang w:eastAsia="zh-CN"/>
        </w:rPr>
        <w:t>浙江华晟金属制品</w:t>
      </w:r>
      <w:r>
        <w:rPr>
          <w:rFonts w:hint="eastAsia" w:ascii="宋体" w:hAnsi="宋体"/>
          <w:sz w:val="24"/>
        </w:rPr>
        <w:t>有限公司根据新形势下企业发展的特点，20</w:t>
      </w:r>
      <w:r>
        <w:rPr>
          <w:rFonts w:hint="eastAsia" w:ascii="宋体" w:hAnsi="宋体" w:eastAsia="宋体"/>
          <w:sz w:val="24"/>
          <w:lang w:val="en-US" w:eastAsia="zh-CN"/>
        </w:rPr>
        <w:t>20</w:t>
      </w:r>
      <w:r>
        <w:rPr>
          <w:rFonts w:hint="eastAsia" w:ascii="宋体" w:hAnsi="宋体"/>
          <w:sz w:val="24"/>
        </w:rPr>
        <w:t>年，新推企业文化“廉职文化建设”等。</w:t>
      </w:r>
      <w:r>
        <w:rPr>
          <w:rFonts w:hint="eastAsia" w:ascii="宋体" w:hAnsi="宋体" w:eastAsia="宋体"/>
          <w:sz w:val="24"/>
          <w:lang w:val="en-US" w:eastAsia="zh-CN"/>
        </w:rPr>
        <w:t>公司通过宣传</w:t>
      </w:r>
      <w:r>
        <w:rPr>
          <w:rFonts w:hint="eastAsia" w:ascii="宋体" w:hAnsi="宋体"/>
          <w:sz w:val="24"/>
        </w:rPr>
        <w:t>从知与行的角度，充分挖掘公司每个员工心底蕴藏的良好职业道德意愿，内化为个人意识，外化为个人行为规范，以凝心聚力，焕发战斗力。针对廉职文化建设，明确了廉职文化建设推进的具体方案，并制订了与之配套的员工廉职行为规范、员工廉洁自律公约、公司与合作单位的廉洁自律责任书等文件。让廉洁自律深入人心，对 “不正之风”形成高压态势，以不断增强企业凝聚力和竞争力。</w:t>
      </w:r>
    </w:p>
    <w:p>
      <w:pPr>
        <w:spacing w:line="360" w:lineRule="auto"/>
        <w:ind w:firstLine="553"/>
        <w:rPr>
          <w:rFonts w:hint="eastAsia" w:ascii="黑体" w:hAnsi="黑体" w:eastAsia="黑体"/>
          <w:b/>
          <w:sz w:val="28"/>
          <w:szCs w:val="21"/>
        </w:rPr>
      </w:pPr>
      <w:r>
        <w:rPr>
          <w:rFonts w:hint="eastAsia" w:ascii="黑体" w:hAnsi="黑体" w:eastAsia="黑体"/>
          <w:b/>
          <w:sz w:val="28"/>
          <w:szCs w:val="21"/>
        </w:rPr>
        <w:t>五、回报社会，参与公益事业</w:t>
      </w:r>
    </w:p>
    <w:p>
      <w:pPr>
        <w:spacing w:line="360" w:lineRule="auto"/>
        <w:ind w:firstLine="482" w:firstLineChars="201"/>
        <w:rPr>
          <w:rFonts w:hint="eastAsia" w:ascii="宋体" w:hAnsi="宋体"/>
          <w:sz w:val="24"/>
        </w:rPr>
      </w:pPr>
      <w:r>
        <w:rPr>
          <w:rFonts w:hint="eastAsia" w:ascii="宋体" w:hAnsi="宋体"/>
          <w:sz w:val="24"/>
        </w:rPr>
        <w:t>公司在发展的同时不忘回馈社会，逐步建设形成了“公司为主、党委牵头、全员参与、注重实效”的</w:t>
      </w:r>
      <w:r>
        <w:rPr>
          <w:rFonts w:hint="eastAsia" w:ascii="宋体" w:hAnsi="宋体" w:eastAsia="宋体"/>
          <w:sz w:val="24"/>
          <w:lang w:eastAsia="zh-CN"/>
        </w:rPr>
        <w:t>浙江华晟</w:t>
      </w:r>
      <w:r>
        <w:rPr>
          <w:rFonts w:hint="eastAsia" w:ascii="宋体" w:hAnsi="宋体"/>
          <w:sz w:val="24"/>
        </w:rPr>
        <w:t>公益慈善体系，多年来开展了多种形式的公益活动。</w:t>
      </w:r>
      <w:r>
        <w:rPr>
          <w:rFonts w:hint="eastAsia" w:ascii="宋体" w:hAnsi="宋体" w:eastAsia="宋体"/>
          <w:sz w:val="24"/>
          <w:lang w:val="en-US" w:eastAsia="zh-CN"/>
        </w:rPr>
        <w:t>浙江华晟</w:t>
      </w:r>
      <w:r>
        <w:rPr>
          <w:rFonts w:hint="eastAsia" w:ascii="宋体" w:hAnsi="宋体"/>
          <w:sz w:val="24"/>
        </w:rPr>
        <w:t>踊跃响应</w:t>
      </w:r>
      <w:r>
        <w:rPr>
          <w:rFonts w:hint="eastAsia" w:ascii="宋体" w:hAnsi="宋体" w:eastAsia="宋体"/>
          <w:sz w:val="24"/>
          <w:lang w:val="en-US" w:eastAsia="zh-CN"/>
        </w:rPr>
        <w:t>桐武义县</w:t>
      </w:r>
      <w:r>
        <w:rPr>
          <w:rFonts w:hint="eastAsia" w:ascii="宋体" w:hAnsi="宋体"/>
          <w:sz w:val="24"/>
        </w:rPr>
        <w:t>委和</w:t>
      </w:r>
      <w:r>
        <w:rPr>
          <w:rFonts w:hint="eastAsia" w:ascii="宋体" w:hAnsi="宋体" w:eastAsia="宋体"/>
          <w:sz w:val="24"/>
          <w:lang w:val="en-US" w:eastAsia="zh-CN"/>
        </w:rPr>
        <w:t>县</w:t>
      </w:r>
      <w:r>
        <w:rPr>
          <w:rFonts w:hint="eastAsia" w:ascii="宋体" w:hAnsi="宋体"/>
          <w:sz w:val="24"/>
        </w:rPr>
        <w:t>政府的号召，积极参与“慈善捐助、发展教育事业、推进环保事业、支持公共</w:t>
      </w:r>
      <w:r>
        <w:rPr>
          <w:rFonts w:hint="eastAsia" w:ascii="宋体" w:hAnsi="宋体" w:eastAsia="宋体"/>
          <w:sz w:val="24"/>
          <w:lang w:val="en-US" w:eastAsia="zh-CN"/>
        </w:rPr>
        <w:t>卫生</w:t>
      </w:r>
      <w:r>
        <w:rPr>
          <w:rFonts w:hint="eastAsia" w:ascii="宋体" w:hAnsi="宋体"/>
          <w:sz w:val="24"/>
        </w:rPr>
        <w:t>改造”等四个领域确定为公益事业支持重点。经统计，公司自成立以来累计向社会捐款</w:t>
      </w:r>
      <w:r>
        <w:rPr>
          <w:rFonts w:hint="eastAsia" w:ascii="宋体" w:hAnsi="宋体" w:eastAsia="宋体"/>
          <w:sz w:val="24"/>
          <w:lang w:val="en-US" w:eastAsia="zh-CN"/>
        </w:rPr>
        <w:t>5</w:t>
      </w:r>
      <w:r>
        <w:rPr>
          <w:rFonts w:hint="eastAsia" w:ascii="宋体" w:hAnsi="宋体"/>
          <w:sz w:val="24"/>
        </w:rPr>
        <w:t xml:space="preserve">0多万元。 </w:t>
      </w:r>
    </w:p>
    <w:p>
      <w:pPr>
        <w:spacing w:line="360" w:lineRule="auto"/>
        <w:ind w:firstLine="483" w:firstLineChars="201"/>
        <w:rPr>
          <w:rFonts w:hint="eastAsia" w:ascii="宋体" w:hAnsi="宋体"/>
          <w:sz w:val="24"/>
        </w:rPr>
      </w:pPr>
      <w:r>
        <w:rPr>
          <w:rFonts w:hint="eastAsia" w:ascii="宋体" w:hAnsi="宋体"/>
          <w:b/>
          <w:sz w:val="24"/>
        </w:rPr>
        <w:t>慈善捐助、发展教育事业：</w:t>
      </w:r>
      <w:r>
        <w:rPr>
          <w:rFonts w:hint="eastAsia" w:ascii="宋体" w:hAnsi="宋体"/>
          <w:sz w:val="24"/>
        </w:rPr>
        <w:t>公司每年定向</w:t>
      </w:r>
      <w:r>
        <w:rPr>
          <w:rFonts w:hint="eastAsia" w:ascii="宋体" w:hAnsi="宋体" w:eastAsia="宋体"/>
          <w:sz w:val="24"/>
          <w:lang w:val="en-US" w:eastAsia="zh-CN"/>
        </w:rPr>
        <w:t>武义县</w:t>
      </w:r>
      <w:r>
        <w:rPr>
          <w:rFonts w:hint="eastAsia" w:ascii="宋体" w:hAnsi="宋体"/>
          <w:sz w:val="24"/>
        </w:rPr>
        <w:t>慈善捐赠</w:t>
      </w:r>
      <w:r>
        <w:rPr>
          <w:rFonts w:hint="eastAsia" w:ascii="宋体" w:hAnsi="宋体" w:eastAsia="宋体"/>
          <w:sz w:val="24"/>
          <w:lang w:val="en-US" w:eastAsia="zh-CN"/>
        </w:rPr>
        <w:t>10</w:t>
      </w:r>
      <w:r>
        <w:rPr>
          <w:rFonts w:hint="eastAsia" w:ascii="宋体" w:hAnsi="宋体"/>
          <w:sz w:val="24"/>
        </w:rPr>
        <w:t>万，帮助贫困学子，至今帮助</w:t>
      </w:r>
      <w:r>
        <w:rPr>
          <w:rFonts w:hint="eastAsia" w:ascii="宋体" w:hAnsi="宋体"/>
          <w:sz w:val="24"/>
          <w:lang w:val="en-US" w:eastAsia="zh-CN"/>
        </w:rPr>
        <w:t>10余</w:t>
      </w:r>
      <w:r>
        <w:rPr>
          <w:rFonts w:hint="eastAsia" w:ascii="宋体" w:hAnsi="宋体"/>
          <w:sz w:val="24"/>
        </w:rPr>
        <w:t>名学生完成学业。</w:t>
      </w:r>
      <w:r>
        <w:rPr>
          <w:rFonts w:hint="eastAsia" w:ascii="宋体" w:hAnsi="宋体" w:eastAsia="宋体"/>
          <w:sz w:val="24"/>
          <w:lang w:eastAsia="zh-CN"/>
        </w:rPr>
        <w:t>浙江华晟</w:t>
      </w:r>
      <w:r>
        <w:rPr>
          <w:rFonts w:hint="eastAsia" w:ascii="宋体" w:hAnsi="宋体"/>
          <w:sz w:val="24"/>
          <w:lang w:val="en-US" w:eastAsia="zh-CN"/>
        </w:rPr>
        <w:t>积极参加各类</w:t>
      </w:r>
      <w:r>
        <w:rPr>
          <w:rFonts w:hint="eastAsia" w:ascii="宋体" w:hAnsi="宋体"/>
          <w:sz w:val="24"/>
        </w:rPr>
        <w:t>公益项目，</w:t>
      </w:r>
      <w:r>
        <w:rPr>
          <w:rFonts w:hint="eastAsia" w:ascii="宋体" w:hAnsi="宋体"/>
          <w:sz w:val="24"/>
          <w:lang w:val="en-US" w:eastAsia="zh-CN"/>
        </w:rPr>
        <w:t>如</w:t>
      </w:r>
      <w:r>
        <w:rPr>
          <w:rFonts w:hint="eastAsia" w:ascii="宋体" w:hAnsi="宋体"/>
          <w:sz w:val="24"/>
        </w:rPr>
        <w:t>为民工学校的儿童准备了学习用品礼包等物资，还为小朋友带来了不一样的教学课程和互动交流，使他们感受到了来自社会的温暖和关怀。</w:t>
      </w:r>
    </w:p>
    <w:p>
      <w:pPr>
        <w:spacing w:line="360" w:lineRule="auto"/>
        <w:ind w:firstLine="484" w:firstLineChars="201"/>
        <w:rPr>
          <w:rFonts w:hint="eastAsia" w:ascii="宋体" w:hAnsi="宋体" w:eastAsia="宋体"/>
          <w:sz w:val="24"/>
          <w:szCs w:val="24"/>
        </w:rPr>
      </w:pPr>
      <w:r>
        <w:rPr>
          <w:rFonts w:hint="eastAsia" w:ascii="宋体" w:hAnsi="宋体" w:eastAsia="宋体"/>
          <w:b/>
          <w:sz w:val="24"/>
          <w:szCs w:val="24"/>
        </w:rPr>
        <w:t>积极开展各类社会救助工作：</w:t>
      </w:r>
      <w:r>
        <w:rPr>
          <w:rFonts w:hint="eastAsia" w:ascii="宋体" w:hAnsi="宋体" w:eastAsia="宋体"/>
          <w:sz w:val="24"/>
          <w:szCs w:val="24"/>
        </w:rPr>
        <w:t>组织员工参与</w:t>
      </w:r>
      <w:r>
        <w:rPr>
          <w:rFonts w:hint="eastAsia" w:ascii="宋体" w:hAnsi="宋体" w:eastAsia="宋体"/>
          <w:sz w:val="24"/>
          <w:szCs w:val="24"/>
          <w:lang w:val="en-US" w:eastAsia="zh-CN"/>
        </w:rPr>
        <w:t>县</w:t>
      </w:r>
      <w:r>
        <w:rPr>
          <w:rFonts w:hint="eastAsia" w:ascii="宋体" w:hAnsi="宋体" w:eastAsia="宋体"/>
          <w:sz w:val="24"/>
          <w:szCs w:val="24"/>
        </w:rPr>
        <w:t>委</w:t>
      </w:r>
      <w:r>
        <w:rPr>
          <w:rFonts w:hint="eastAsia" w:ascii="宋体" w:hAnsi="宋体" w:eastAsia="宋体"/>
          <w:sz w:val="24"/>
          <w:szCs w:val="24"/>
          <w:lang w:val="en-US" w:eastAsia="zh-CN"/>
        </w:rPr>
        <w:t>县</w:t>
      </w:r>
      <w:r>
        <w:rPr>
          <w:rFonts w:hint="eastAsia" w:ascii="宋体" w:hAnsi="宋体" w:eastAsia="宋体"/>
          <w:sz w:val="24"/>
          <w:szCs w:val="24"/>
        </w:rPr>
        <w:t>政府、各社会慈善机构组织的各类扶贫帮困、捐赠活动。20</w:t>
      </w:r>
      <w:r>
        <w:rPr>
          <w:rFonts w:hint="eastAsia" w:ascii="宋体" w:hAnsi="宋体" w:eastAsia="宋体"/>
          <w:sz w:val="24"/>
          <w:szCs w:val="24"/>
          <w:lang w:val="en-US" w:eastAsia="zh-CN"/>
        </w:rPr>
        <w:t>20</w:t>
      </w:r>
      <w:r>
        <w:rPr>
          <w:rFonts w:hint="eastAsia" w:ascii="宋体" w:hAnsi="宋体" w:eastAsia="宋体"/>
          <w:sz w:val="24"/>
          <w:szCs w:val="24"/>
        </w:rPr>
        <w:t>年全年，公司员工累计参与</w:t>
      </w:r>
      <w:r>
        <w:rPr>
          <w:rFonts w:hint="eastAsia" w:ascii="宋体" w:hAnsi="宋体" w:eastAsia="宋体"/>
          <w:sz w:val="24"/>
          <w:szCs w:val="24"/>
          <w:lang w:val="en-US" w:eastAsia="zh-CN"/>
        </w:rPr>
        <w:t>县</w:t>
      </w:r>
      <w:r>
        <w:rPr>
          <w:rFonts w:hint="eastAsia" w:ascii="宋体" w:hAnsi="宋体" w:eastAsia="宋体"/>
          <w:sz w:val="24"/>
          <w:szCs w:val="24"/>
        </w:rPr>
        <w:t>委</w:t>
      </w:r>
      <w:r>
        <w:rPr>
          <w:rFonts w:hint="eastAsia" w:ascii="宋体" w:hAnsi="宋体" w:eastAsia="宋体"/>
          <w:sz w:val="24"/>
          <w:szCs w:val="24"/>
          <w:lang w:val="en-US" w:eastAsia="zh-CN"/>
        </w:rPr>
        <w:t>县</w:t>
      </w:r>
      <w:r>
        <w:rPr>
          <w:rFonts w:hint="eastAsia" w:ascii="宋体" w:hAnsi="宋体" w:eastAsia="宋体"/>
          <w:sz w:val="24"/>
          <w:szCs w:val="24"/>
        </w:rPr>
        <w:t>政府、各社会慈善机构组织的各类扶贫帮困、捐赠活动共计</w:t>
      </w:r>
      <w:r>
        <w:rPr>
          <w:rFonts w:hint="eastAsia" w:ascii="宋体" w:hAnsi="宋体" w:eastAsia="宋体"/>
          <w:sz w:val="24"/>
          <w:szCs w:val="24"/>
          <w:lang w:val="en-US" w:eastAsia="zh-CN"/>
        </w:rPr>
        <w:t>2</w:t>
      </w:r>
      <w:r>
        <w:rPr>
          <w:rFonts w:hint="eastAsia" w:ascii="宋体" w:hAnsi="宋体" w:eastAsia="宋体"/>
          <w:sz w:val="24"/>
          <w:szCs w:val="24"/>
        </w:rPr>
        <w:t>场次；201</w:t>
      </w:r>
      <w:r>
        <w:rPr>
          <w:rFonts w:hint="eastAsia" w:ascii="宋体" w:hAnsi="宋体" w:eastAsia="宋体"/>
          <w:sz w:val="24"/>
          <w:szCs w:val="24"/>
          <w:lang w:val="en-US" w:eastAsia="zh-CN"/>
        </w:rPr>
        <w:t>9</w:t>
      </w:r>
      <w:r>
        <w:rPr>
          <w:rFonts w:hint="eastAsia" w:ascii="宋体" w:hAnsi="宋体" w:eastAsia="宋体"/>
          <w:sz w:val="24"/>
          <w:szCs w:val="24"/>
        </w:rPr>
        <w:t>年，公司主动联系</w:t>
      </w:r>
      <w:r>
        <w:rPr>
          <w:rFonts w:hint="eastAsia" w:ascii="宋体" w:hAnsi="宋体" w:eastAsia="宋体"/>
          <w:sz w:val="24"/>
          <w:szCs w:val="24"/>
          <w:lang w:val="en-US" w:eastAsia="zh-CN"/>
        </w:rPr>
        <w:t>当地</w:t>
      </w:r>
      <w:r>
        <w:rPr>
          <w:rFonts w:hint="eastAsia" w:ascii="宋体" w:hAnsi="宋体" w:eastAsia="宋体"/>
          <w:sz w:val="24"/>
          <w:szCs w:val="24"/>
        </w:rPr>
        <w:t>中心血站，开展了一场以“无偿献血，奉献爱心”的献血活动。共有</w:t>
      </w:r>
      <w:r>
        <w:rPr>
          <w:rFonts w:hint="eastAsia" w:ascii="宋体" w:hAnsi="宋体" w:eastAsia="宋体"/>
          <w:sz w:val="24"/>
          <w:szCs w:val="24"/>
          <w:lang w:val="en-US" w:eastAsia="zh-CN"/>
        </w:rPr>
        <w:t>30余人</w:t>
      </w:r>
      <w:r>
        <w:rPr>
          <w:rFonts w:hint="eastAsia" w:ascii="宋体" w:hAnsi="宋体" w:eastAsia="宋体"/>
          <w:sz w:val="24"/>
          <w:szCs w:val="24"/>
        </w:rPr>
        <w:t>人报名，经初测有</w:t>
      </w:r>
      <w:r>
        <w:rPr>
          <w:rFonts w:hint="eastAsia" w:ascii="宋体" w:hAnsi="宋体" w:eastAsia="宋体"/>
          <w:sz w:val="24"/>
          <w:szCs w:val="24"/>
          <w:lang w:val="en-US" w:eastAsia="zh-CN"/>
        </w:rPr>
        <w:t>35</w:t>
      </w:r>
      <w:r>
        <w:rPr>
          <w:rFonts w:hint="eastAsia" w:ascii="宋体" w:hAnsi="宋体" w:eastAsia="宋体"/>
          <w:sz w:val="24"/>
          <w:szCs w:val="24"/>
        </w:rPr>
        <w:t>人合格，献血量达</w:t>
      </w:r>
      <w:r>
        <w:rPr>
          <w:rFonts w:hint="eastAsia" w:ascii="宋体" w:hAnsi="宋体" w:eastAsia="宋体"/>
          <w:sz w:val="24"/>
          <w:szCs w:val="24"/>
          <w:lang w:val="en-US" w:eastAsia="zh-CN"/>
        </w:rPr>
        <w:t>10000</w:t>
      </w:r>
      <w:r>
        <w:rPr>
          <w:rFonts w:hint="eastAsia" w:ascii="宋体" w:hAnsi="宋体" w:eastAsia="宋体"/>
          <w:sz w:val="24"/>
          <w:szCs w:val="24"/>
        </w:rPr>
        <w:t>毫升。</w:t>
      </w:r>
    </w:p>
    <w:p>
      <w:pPr>
        <w:pStyle w:val="107"/>
        <w:spacing w:before="100" w:beforeAutospacing="1" w:line="360" w:lineRule="auto"/>
        <w:ind w:firstLine="170" w:firstLineChars="71"/>
        <w:rPr>
          <w:rFonts w:hint="eastAsia" w:ascii="宋体" w:hAnsi="宋体"/>
          <w:b/>
          <w:color w:val="auto"/>
        </w:rPr>
      </w:pPr>
      <w:r>
        <w:rPr>
          <w:rFonts w:hint="eastAsia" w:ascii="宋体" w:hAnsi="宋体"/>
          <w:b/>
          <w:color w:val="auto"/>
        </w:rPr>
        <w:t>六、公司与员工双赢发展</w:t>
      </w:r>
    </w:p>
    <w:p>
      <w:pPr>
        <w:pStyle w:val="107"/>
        <w:spacing w:line="360" w:lineRule="auto"/>
        <w:ind w:firstLine="480"/>
        <w:rPr>
          <w:rFonts w:ascii="宋体" w:hAnsi="宋体"/>
          <w:b/>
          <w:color w:val="auto"/>
        </w:rPr>
      </w:pPr>
      <w:r>
        <w:rPr>
          <w:rFonts w:hint="eastAsia" w:ascii="宋体" w:hAnsi="宋体"/>
          <w:color w:val="auto"/>
        </w:rPr>
        <w:t>公司注重公司与员工双赢，在公司稳步发展的同时，为员工提供良好的工作环境、适宜的生活条件以及具有竞争性的薪酬福利。如下表：</w:t>
      </w:r>
    </w:p>
    <w:p>
      <w:pPr>
        <w:pStyle w:val="7"/>
        <w:keepNext/>
        <w:adjustRightInd w:val="0"/>
        <w:spacing w:before="156" w:beforeLines="50" w:line="360" w:lineRule="auto"/>
        <w:ind w:firstLine="422"/>
        <w:jc w:val="center"/>
        <w:rPr>
          <w:rFonts w:ascii="宋体" w:hAnsi="宋体" w:eastAsia="宋体"/>
          <w:b/>
          <w:sz w:val="21"/>
          <w:szCs w:val="21"/>
        </w:rPr>
      </w:pPr>
      <w:r>
        <w:rPr>
          <w:rFonts w:hint="eastAsia" w:ascii="宋体" w:hAnsi="宋体" w:eastAsia="宋体"/>
          <w:b/>
          <w:sz w:val="21"/>
          <w:szCs w:val="21"/>
        </w:rPr>
        <w:t>员工福利</w:t>
      </w:r>
    </w:p>
    <w:tbl>
      <w:tblPr>
        <w:tblStyle w:val="35"/>
        <w:tblW w:w="0" w:type="auto"/>
        <w:jc w:val="center"/>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0" w:type="dxa"/>
          <w:left w:w="108" w:type="dxa"/>
          <w:bottom w:w="0" w:type="dxa"/>
          <w:right w:w="108" w:type="dxa"/>
        </w:tblCellMar>
      </w:tblPr>
      <w:tblGrid>
        <w:gridCol w:w="3738"/>
        <w:gridCol w:w="1585"/>
        <w:gridCol w:w="1586"/>
        <w:gridCol w:w="2046"/>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tblHeader/>
          <w:jc w:val="center"/>
        </w:trPr>
        <w:tc>
          <w:tcPr>
            <w:tcW w:w="3738" w:type="dxa"/>
            <w:tcBorders>
              <w:tl2br w:val="nil"/>
              <w:tr2bl w:val="nil"/>
            </w:tcBorders>
            <w:noWrap w:val="0"/>
            <w:vAlign w:val="center"/>
          </w:tcPr>
          <w:p>
            <w:pPr>
              <w:pStyle w:val="71"/>
              <w:spacing w:line="360" w:lineRule="auto"/>
              <w:rPr>
                <w:rFonts w:ascii="宋体" w:hAnsi="宋体"/>
                <w:b/>
                <w:color w:val="auto"/>
                <w:szCs w:val="21"/>
                <w:lang w:val="en-US" w:eastAsia="zh-CN"/>
              </w:rPr>
            </w:pPr>
            <w:r>
              <w:rPr>
                <w:rFonts w:hint="eastAsia" w:ascii="宋体" w:hAnsi="宋体"/>
                <w:b/>
                <w:color w:val="auto"/>
                <w:szCs w:val="21"/>
                <w:lang w:val="en-US" w:eastAsia="zh-CN"/>
              </w:rPr>
              <w:t>项  目</w:t>
            </w:r>
          </w:p>
        </w:tc>
        <w:tc>
          <w:tcPr>
            <w:tcW w:w="1585" w:type="dxa"/>
            <w:tcBorders>
              <w:tl2br w:val="nil"/>
              <w:tr2bl w:val="nil"/>
            </w:tcBorders>
            <w:noWrap w:val="0"/>
            <w:vAlign w:val="center"/>
          </w:tcPr>
          <w:p>
            <w:pPr>
              <w:pStyle w:val="71"/>
              <w:spacing w:line="360" w:lineRule="auto"/>
              <w:rPr>
                <w:rFonts w:ascii="宋体" w:hAnsi="宋体"/>
                <w:b/>
                <w:color w:val="auto"/>
                <w:szCs w:val="21"/>
                <w:lang w:val="en-US" w:eastAsia="zh-CN"/>
              </w:rPr>
            </w:pPr>
            <w:r>
              <w:rPr>
                <w:rFonts w:hint="eastAsia" w:ascii="宋体" w:hAnsi="宋体"/>
                <w:b/>
                <w:color w:val="auto"/>
                <w:szCs w:val="21"/>
                <w:lang w:val="en-US" w:eastAsia="zh-CN"/>
              </w:rPr>
              <w:t>201</w:t>
            </w:r>
            <w:r>
              <w:rPr>
                <w:rFonts w:hint="eastAsia" w:ascii="宋体" w:hAnsi="宋体"/>
                <w:b/>
                <w:color w:val="auto"/>
                <w:szCs w:val="21"/>
                <w:lang w:val="en-US" w:eastAsia="zh-CN"/>
              </w:rPr>
              <w:t>8</w:t>
            </w:r>
            <w:r>
              <w:rPr>
                <w:rFonts w:hint="eastAsia" w:ascii="宋体" w:hAnsi="宋体"/>
                <w:b/>
                <w:color w:val="auto"/>
                <w:szCs w:val="21"/>
                <w:lang w:val="en-US" w:eastAsia="zh-CN"/>
              </w:rPr>
              <w:t>年</w:t>
            </w:r>
          </w:p>
        </w:tc>
        <w:tc>
          <w:tcPr>
            <w:tcW w:w="1586" w:type="dxa"/>
            <w:tcBorders>
              <w:tl2br w:val="nil"/>
              <w:tr2bl w:val="nil"/>
            </w:tcBorders>
            <w:noWrap w:val="0"/>
            <w:vAlign w:val="center"/>
          </w:tcPr>
          <w:p>
            <w:pPr>
              <w:pStyle w:val="71"/>
              <w:spacing w:line="360" w:lineRule="auto"/>
              <w:rPr>
                <w:rFonts w:ascii="宋体" w:hAnsi="宋体"/>
                <w:b/>
                <w:color w:val="auto"/>
                <w:szCs w:val="21"/>
                <w:lang w:val="en-US" w:eastAsia="zh-CN"/>
              </w:rPr>
            </w:pPr>
            <w:r>
              <w:rPr>
                <w:rFonts w:hint="eastAsia" w:ascii="宋体" w:hAnsi="宋体"/>
                <w:b/>
                <w:color w:val="auto"/>
                <w:szCs w:val="21"/>
                <w:lang w:val="en-US" w:eastAsia="zh-CN"/>
              </w:rPr>
              <w:t>2019年</w:t>
            </w:r>
          </w:p>
        </w:tc>
        <w:tc>
          <w:tcPr>
            <w:tcW w:w="2046" w:type="dxa"/>
            <w:tcBorders>
              <w:tl2br w:val="nil"/>
              <w:tr2bl w:val="nil"/>
            </w:tcBorders>
            <w:noWrap w:val="0"/>
            <w:vAlign w:val="center"/>
          </w:tcPr>
          <w:p>
            <w:pPr>
              <w:pStyle w:val="71"/>
              <w:spacing w:line="360" w:lineRule="auto"/>
              <w:rPr>
                <w:rFonts w:ascii="宋体" w:hAnsi="宋体"/>
                <w:b/>
                <w:color w:val="auto"/>
                <w:szCs w:val="21"/>
                <w:lang w:val="en-US" w:eastAsia="zh-CN"/>
              </w:rPr>
            </w:pPr>
            <w:r>
              <w:rPr>
                <w:rFonts w:hint="eastAsia" w:ascii="宋体" w:hAnsi="宋体"/>
                <w:b/>
                <w:color w:val="auto"/>
                <w:szCs w:val="21"/>
                <w:lang w:val="en-US" w:eastAsia="zh-CN"/>
              </w:rPr>
              <w:t>202</w:t>
            </w:r>
            <w:r>
              <w:rPr>
                <w:rFonts w:hint="eastAsia" w:ascii="宋体" w:hAnsi="宋体"/>
                <w:b/>
                <w:color w:val="auto"/>
                <w:szCs w:val="21"/>
                <w:lang w:val="en-US" w:eastAsia="zh-CN"/>
              </w:rPr>
              <w:t>0</w:t>
            </w:r>
            <w:r>
              <w:rPr>
                <w:rFonts w:hint="eastAsia" w:ascii="宋体" w:hAnsi="宋体"/>
                <w:b/>
                <w:color w:val="auto"/>
                <w:szCs w:val="21"/>
                <w:lang w:val="en-US" w:eastAsia="zh-CN"/>
              </w:rPr>
              <w:t>年</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shd w:val="clear" w:color="auto" w:fill="auto"/>
            <w:noWrap w:val="0"/>
            <w:vAlign w:val="center"/>
          </w:tcPr>
          <w:p>
            <w:pPr>
              <w:pStyle w:val="71"/>
              <w:spacing w:line="360" w:lineRule="auto"/>
              <w:rPr>
                <w:rFonts w:ascii="宋体" w:hAnsi="宋体"/>
                <w:color w:val="auto"/>
                <w:szCs w:val="21"/>
                <w:lang w:val="en-US" w:eastAsia="zh-CN"/>
              </w:rPr>
            </w:pPr>
            <w:r>
              <w:rPr>
                <w:rFonts w:hint="eastAsia" w:ascii="宋体" w:hAnsi="宋体"/>
                <w:color w:val="auto"/>
                <w:szCs w:val="21"/>
                <w:lang w:val="en-US" w:eastAsia="zh-CN"/>
              </w:rPr>
              <w:t>人均收入（元/年·人）</w:t>
            </w:r>
          </w:p>
        </w:tc>
        <w:tc>
          <w:tcPr>
            <w:tcW w:w="1585" w:type="dxa"/>
            <w:tcBorders>
              <w:tl2br w:val="nil"/>
              <w:tr2bl w:val="nil"/>
            </w:tcBorders>
            <w:shd w:val="clear" w:color="auto" w:fill="FFFFFF"/>
            <w:noWrap w:val="0"/>
            <w:vAlign w:val="center"/>
          </w:tcPr>
          <w:p>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7.2</w:t>
            </w:r>
          </w:p>
        </w:tc>
        <w:tc>
          <w:tcPr>
            <w:tcW w:w="1586" w:type="dxa"/>
            <w:tcBorders>
              <w:tl2br w:val="nil"/>
              <w:tr2bl w:val="nil"/>
            </w:tcBorders>
            <w:shd w:val="clear" w:color="auto" w:fill="FFFFFF"/>
            <w:noWrap w:val="0"/>
            <w:vAlign w:val="center"/>
          </w:tcPr>
          <w:p>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7.5</w:t>
            </w:r>
          </w:p>
        </w:tc>
        <w:tc>
          <w:tcPr>
            <w:tcW w:w="2046" w:type="dxa"/>
            <w:tcBorders>
              <w:tl2br w:val="nil"/>
              <w:tr2bl w:val="nil"/>
            </w:tcBorders>
            <w:shd w:val="clear" w:color="auto" w:fill="FFFFFF"/>
            <w:noWrap w:val="0"/>
            <w:vAlign w:val="center"/>
          </w:tcPr>
          <w:p>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7.6</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shd w:val="clear" w:color="auto" w:fill="auto"/>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人均培训课时（小时）</w:t>
            </w:r>
          </w:p>
        </w:tc>
        <w:tc>
          <w:tcPr>
            <w:tcW w:w="1585" w:type="dxa"/>
            <w:tcBorders>
              <w:tl2br w:val="nil"/>
              <w:tr2bl w:val="nil"/>
            </w:tcBorders>
            <w:shd w:val="clear" w:color="auto" w:fill="FFFFFF"/>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180</w:t>
            </w:r>
          </w:p>
        </w:tc>
        <w:tc>
          <w:tcPr>
            <w:tcW w:w="1586" w:type="dxa"/>
            <w:tcBorders>
              <w:tl2br w:val="nil"/>
              <w:tr2bl w:val="nil"/>
            </w:tcBorders>
            <w:shd w:val="clear" w:color="auto" w:fill="FFFFFF"/>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200</w:t>
            </w:r>
          </w:p>
        </w:tc>
        <w:tc>
          <w:tcPr>
            <w:tcW w:w="2046" w:type="dxa"/>
            <w:tcBorders>
              <w:tl2br w:val="nil"/>
              <w:tr2bl w:val="nil"/>
            </w:tcBorders>
            <w:shd w:val="clear" w:color="auto" w:fill="FFFFFF"/>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220</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福利费用（万元）</w:t>
            </w:r>
          </w:p>
        </w:tc>
        <w:tc>
          <w:tcPr>
            <w:tcW w:w="1585"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80</w:t>
            </w:r>
          </w:p>
        </w:tc>
        <w:tc>
          <w:tcPr>
            <w:tcW w:w="1586"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90</w:t>
            </w:r>
          </w:p>
        </w:tc>
        <w:tc>
          <w:tcPr>
            <w:tcW w:w="2046"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110</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福利增长率（%）</w:t>
            </w:r>
          </w:p>
        </w:tc>
        <w:tc>
          <w:tcPr>
            <w:tcW w:w="1585"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10</w:t>
            </w:r>
          </w:p>
        </w:tc>
        <w:tc>
          <w:tcPr>
            <w:tcW w:w="1586"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11</w:t>
            </w:r>
          </w:p>
        </w:tc>
        <w:tc>
          <w:tcPr>
            <w:tcW w:w="2046"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13</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投保人数（人）</w:t>
            </w:r>
          </w:p>
        </w:tc>
        <w:tc>
          <w:tcPr>
            <w:tcW w:w="1585"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所有员工</w:t>
            </w:r>
          </w:p>
        </w:tc>
        <w:tc>
          <w:tcPr>
            <w:tcW w:w="1586"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所有员工</w:t>
            </w:r>
          </w:p>
        </w:tc>
        <w:tc>
          <w:tcPr>
            <w:tcW w:w="2046"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所有员工</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员工体检</w:t>
            </w:r>
          </w:p>
        </w:tc>
        <w:tc>
          <w:tcPr>
            <w:tcW w:w="5217" w:type="dxa"/>
            <w:gridSpan w:val="3"/>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所有特殊工种每年体检一次。</w:t>
            </w:r>
          </w:p>
        </w:tc>
      </w:tr>
    </w:tbl>
    <w:p>
      <w:pPr>
        <w:pStyle w:val="107"/>
        <w:spacing w:line="360" w:lineRule="auto"/>
        <w:ind w:firstLine="480"/>
        <w:rPr>
          <w:rFonts w:ascii="宋体" w:hAnsi="宋体"/>
          <w:color w:val="auto"/>
        </w:rPr>
      </w:pPr>
      <w:r>
        <w:rPr>
          <w:rFonts w:hint="eastAsia" w:ascii="宋体" w:hAnsi="宋体"/>
          <w:color w:val="auto"/>
        </w:rPr>
        <w:t>公司在日常运作过程中，非常注重员工抱怨状况，出现员工抱怨，及时协调相关部门了解情况并尽快处理，以消除员工的不满意程度，全身心地投入工作过程中，快乐学习，快乐工作，快乐生活。</w:t>
      </w:r>
    </w:p>
    <w:p>
      <w:pPr>
        <w:pStyle w:val="107"/>
        <w:spacing w:line="360" w:lineRule="auto"/>
        <w:ind w:firstLine="480"/>
        <w:rPr>
          <w:rFonts w:ascii="宋体" w:hAnsi="宋体"/>
          <w:color w:val="auto"/>
        </w:rPr>
      </w:pPr>
      <w:r>
        <w:rPr>
          <w:rFonts w:hint="eastAsia" w:ascii="宋体" w:hAnsi="宋体"/>
          <w:color w:val="auto"/>
        </w:rPr>
        <w:t>另外，公司每年做一次全体的员工满意度调查，统计分析后形成报告，针对性做改进。该工作逐年持续，取得了良好的成效，员工满意度逐年提升。</w:t>
      </w:r>
    </w:p>
    <w:p>
      <w:pPr>
        <w:spacing w:after="156" w:afterLines="50" w:line="360" w:lineRule="auto"/>
        <w:jc w:val="center"/>
        <w:rPr>
          <w:rFonts w:hint="eastAsia"/>
          <w:b/>
          <w:sz w:val="28"/>
          <w:szCs w:val="28"/>
        </w:rPr>
      </w:pPr>
      <w:r>
        <w:rPr>
          <w:rFonts w:hint="eastAsia"/>
          <w:b/>
          <w:sz w:val="28"/>
          <w:szCs w:val="28"/>
        </w:rPr>
        <w:t>结束语</w:t>
      </w:r>
    </w:p>
    <w:p>
      <w:pPr>
        <w:spacing w:line="360" w:lineRule="auto"/>
        <w:ind w:firstLine="600" w:firstLineChars="250"/>
        <w:jc w:val="left"/>
        <w:rPr>
          <w:rFonts w:hint="eastAsia" w:ascii="宋体" w:hAnsi="宋体"/>
          <w:sz w:val="24"/>
        </w:rPr>
      </w:pPr>
      <w:r>
        <w:rPr>
          <w:rFonts w:hint="eastAsia" w:ascii="宋体" w:hAnsi="宋体"/>
          <w:sz w:val="24"/>
        </w:rPr>
        <w:t>作为一家</w:t>
      </w:r>
      <w:r>
        <w:rPr>
          <w:rFonts w:hint="eastAsia" w:ascii="宋体" w:hAnsi="宋体" w:eastAsia="宋体"/>
          <w:sz w:val="24"/>
          <w:lang w:val="en-US" w:eastAsia="zh-CN"/>
        </w:rPr>
        <w:t>守法经营的公司</w:t>
      </w:r>
      <w:r>
        <w:rPr>
          <w:rFonts w:hint="eastAsia" w:ascii="宋体" w:hAnsi="宋体"/>
          <w:sz w:val="24"/>
        </w:rPr>
        <w:t>，</w:t>
      </w:r>
      <w:r>
        <w:rPr>
          <w:rFonts w:hint="eastAsia" w:ascii="宋体" w:hAnsi="宋体" w:eastAsia="宋体"/>
          <w:sz w:val="24"/>
          <w:lang w:eastAsia="zh-CN"/>
        </w:rPr>
        <w:t>浙江华晟</w:t>
      </w:r>
      <w:r>
        <w:rPr>
          <w:rFonts w:hint="eastAsia" w:ascii="宋体" w:hAnsi="宋体"/>
          <w:sz w:val="24"/>
        </w:rPr>
        <w:t>充分意识到企业成长与承担社会责任是相辅相成、密不可分的，公司重视为股东实现最佳回报，保护投资人的合法权益;注重与供方建立双赢的合作关系，注重回馈员工,实现员工的个人发展与公司发展同步增长;重视公司的发展要融入社会，积极回馈社会。</w:t>
      </w:r>
    </w:p>
    <w:p>
      <w:pPr>
        <w:spacing w:line="360" w:lineRule="auto"/>
        <w:ind w:firstLine="600" w:firstLineChars="250"/>
        <w:jc w:val="left"/>
        <w:rPr>
          <w:rFonts w:hint="eastAsia" w:ascii="宋体" w:hAnsi="宋体"/>
          <w:sz w:val="28"/>
          <w:szCs w:val="28"/>
        </w:rPr>
      </w:pPr>
      <w:r>
        <w:rPr>
          <w:rFonts w:hint="eastAsia" w:ascii="宋体" w:hAnsi="宋体"/>
          <w:sz w:val="24"/>
        </w:rPr>
        <w:t>展望未来，公司将一如既往的积极履行应当承担的社会责任和义务，以发展为中心，促进公司和所在区域的经济社会发展。在经营管理中，公司将进一步遵循诚实信用原则，遵守社会公德、商业道德，诚信对待供应商、客户，在保护好股东等利益相关方权益的同时，也要保护好广大职工的合法权益。公司将积极保护环境，在追求经济效益的同时更加重视社会与环境效益，以促进公司自身与全社会的协调、和谐发展。</w:t>
      </w:r>
    </w:p>
    <w:sectPr>
      <w:headerReference r:id="rId3" w:type="default"/>
      <w:footerReference r:id="rId4" w:type="default"/>
      <w:pgSz w:w="11906" w:h="16838"/>
      <w:pgMar w:top="1474" w:right="1304" w:bottom="1191" w:left="1304" w:header="425" w:footer="550" w:gutter="0"/>
      <w:pgBorders w:offsetFrom="page">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Garamond">
    <w:panose1 w:val="02020404030301010803"/>
    <w:charset w:val="00"/>
    <w:family w:val="roman"/>
    <w:pitch w:val="default"/>
    <w:sig w:usb0="00000287" w:usb1="00000000" w:usb2="00000000" w:usb3="00000000" w:csb0="0000009F" w:csb1="DFD70000"/>
  </w:font>
  <w:font w:name="Cambria">
    <w:panose1 w:val="02040503050406030204"/>
    <w:charset w:val="00"/>
    <w:family w:val="roman"/>
    <w:pitch w:val="default"/>
    <w:sig w:usb0="E00002FF" w:usb1="400004FF" w:usb2="00000000" w:usb3="00000000" w:csb0="2000019F" w:csb1="00000000"/>
  </w:font>
  <w:font w:name="Roman 10cpi">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1" w:usb1="080E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琥珀">
    <w:panose1 w:val="02010800040101010101"/>
    <w:charset w:val="86"/>
    <w:family w:val="auto"/>
    <w:pitch w:val="default"/>
    <w:sig w:usb0="00000001" w:usb1="080F0000" w:usb2="00000000" w:usb3="00000000" w:csb0="00040000"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212"/>
      <w:jc w:val="center"/>
    </w:pPr>
    <w:r>
      <w:t>-</w:t>
    </w:r>
    <w:r>
      <w:fldChar w:fldCharType="begin"/>
    </w:r>
    <w:r>
      <w:instrText xml:space="preserve"> PAGE   \* MERGEFORMAT </w:instrText>
    </w:r>
    <w:r>
      <w:fldChar w:fldCharType="separate"/>
    </w:r>
    <w:r>
      <w:rPr>
        <w:lang w:val="zh-CN"/>
      </w:rPr>
      <w:t>4</w:t>
    </w:r>
    <w:r>
      <w:fldChar w:fldCharType="end"/>
    </w:r>
    <w:r>
      <w:t>/</w:t>
    </w:r>
    <w:r>
      <w:rPr>
        <w:rFonts w:hint="eastAsia"/>
        <w:lang w:val="en-US" w:eastAsia="zh-CN"/>
      </w:rPr>
      <w:t>16</w:t>
    </w:r>
    <w:r>
      <w:t>-</w:t>
    </w:r>
  </w:p>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FE42B9"/>
    <w:multiLevelType w:val="multilevel"/>
    <w:tmpl w:val="72FE42B9"/>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C9A"/>
    <w:rsid w:val="00005AAD"/>
    <w:rsid w:val="00010F8E"/>
    <w:rsid w:val="00011E03"/>
    <w:rsid w:val="00015544"/>
    <w:rsid w:val="0001565A"/>
    <w:rsid w:val="00026597"/>
    <w:rsid w:val="00035874"/>
    <w:rsid w:val="00043A67"/>
    <w:rsid w:val="00043A91"/>
    <w:rsid w:val="0005127A"/>
    <w:rsid w:val="00066C4B"/>
    <w:rsid w:val="00072C37"/>
    <w:rsid w:val="00073F0F"/>
    <w:rsid w:val="0007756E"/>
    <w:rsid w:val="000A7188"/>
    <w:rsid w:val="000A7546"/>
    <w:rsid w:val="000C6C1D"/>
    <w:rsid w:val="000E05D8"/>
    <w:rsid w:val="000E075A"/>
    <w:rsid w:val="000F0B52"/>
    <w:rsid w:val="00122FE7"/>
    <w:rsid w:val="0013217D"/>
    <w:rsid w:val="00140E1C"/>
    <w:rsid w:val="00150CF6"/>
    <w:rsid w:val="0015313B"/>
    <w:rsid w:val="0015354E"/>
    <w:rsid w:val="00153D58"/>
    <w:rsid w:val="00163969"/>
    <w:rsid w:val="00171A72"/>
    <w:rsid w:val="00174958"/>
    <w:rsid w:val="0017540B"/>
    <w:rsid w:val="00193847"/>
    <w:rsid w:val="00193AFA"/>
    <w:rsid w:val="00195C78"/>
    <w:rsid w:val="001B289F"/>
    <w:rsid w:val="001B52B7"/>
    <w:rsid w:val="001D5DF0"/>
    <w:rsid w:val="001E6FDA"/>
    <w:rsid w:val="00204226"/>
    <w:rsid w:val="00207F8F"/>
    <w:rsid w:val="002144F2"/>
    <w:rsid w:val="00240F1A"/>
    <w:rsid w:val="00256623"/>
    <w:rsid w:val="002570C9"/>
    <w:rsid w:val="00272C06"/>
    <w:rsid w:val="00274FCC"/>
    <w:rsid w:val="00282144"/>
    <w:rsid w:val="00286806"/>
    <w:rsid w:val="00291F0E"/>
    <w:rsid w:val="002E6AEF"/>
    <w:rsid w:val="002F1E39"/>
    <w:rsid w:val="00305538"/>
    <w:rsid w:val="00326920"/>
    <w:rsid w:val="00327684"/>
    <w:rsid w:val="003312AA"/>
    <w:rsid w:val="00337A47"/>
    <w:rsid w:val="00344C55"/>
    <w:rsid w:val="0034694C"/>
    <w:rsid w:val="0035088B"/>
    <w:rsid w:val="00360BAE"/>
    <w:rsid w:val="00362643"/>
    <w:rsid w:val="00370B81"/>
    <w:rsid w:val="003732D3"/>
    <w:rsid w:val="00380120"/>
    <w:rsid w:val="00380592"/>
    <w:rsid w:val="00397CF6"/>
    <w:rsid w:val="003A6EDA"/>
    <w:rsid w:val="003B0D2A"/>
    <w:rsid w:val="003D50D2"/>
    <w:rsid w:val="003D5D61"/>
    <w:rsid w:val="003E07C2"/>
    <w:rsid w:val="003E4C32"/>
    <w:rsid w:val="003E5023"/>
    <w:rsid w:val="003F08E8"/>
    <w:rsid w:val="00400A35"/>
    <w:rsid w:val="0041635C"/>
    <w:rsid w:val="00432CA0"/>
    <w:rsid w:val="00490072"/>
    <w:rsid w:val="004952E5"/>
    <w:rsid w:val="004B7C59"/>
    <w:rsid w:val="004C1962"/>
    <w:rsid w:val="004C199D"/>
    <w:rsid w:val="004C3403"/>
    <w:rsid w:val="004C7DB3"/>
    <w:rsid w:val="004C7FC5"/>
    <w:rsid w:val="004D77FB"/>
    <w:rsid w:val="004E12F8"/>
    <w:rsid w:val="004F1360"/>
    <w:rsid w:val="004F48E5"/>
    <w:rsid w:val="0050109A"/>
    <w:rsid w:val="00502B24"/>
    <w:rsid w:val="005172F3"/>
    <w:rsid w:val="005235A7"/>
    <w:rsid w:val="0052691A"/>
    <w:rsid w:val="005274E5"/>
    <w:rsid w:val="00543424"/>
    <w:rsid w:val="00543DB7"/>
    <w:rsid w:val="00554370"/>
    <w:rsid w:val="0055523A"/>
    <w:rsid w:val="00574DA0"/>
    <w:rsid w:val="005763C4"/>
    <w:rsid w:val="005858BB"/>
    <w:rsid w:val="00587BEA"/>
    <w:rsid w:val="005A13F3"/>
    <w:rsid w:val="005A4C18"/>
    <w:rsid w:val="005B53EF"/>
    <w:rsid w:val="005C2311"/>
    <w:rsid w:val="005C4FC8"/>
    <w:rsid w:val="005E22F5"/>
    <w:rsid w:val="005E35F7"/>
    <w:rsid w:val="005E6F67"/>
    <w:rsid w:val="005F25B7"/>
    <w:rsid w:val="00604D31"/>
    <w:rsid w:val="00614AE3"/>
    <w:rsid w:val="00633F41"/>
    <w:rsid w:val="006420EC"/>
    <w:rsid w:val="0064646B"/>
    <w:rsid w:val="00653D97"/>
    <w:rsid w:val="00661FD3"/>
    <w:rsid w:val="006675C8"/>
    <w:rsid w:val="006807EB"/>
    <w:rsid w:val="006809CB"/>
    <w:rsid w:val="00693E84"/>
    <w:rsid w:val="006A2AE3"/>
    <w:rsid w:val="006B25B9"/>
    <w:rsid w:val="006C6419"/>
    <w:rsid w:val="006E1D99"/>
    <w:rsid w:val="006E7485"/>
    <w:rsid w:val="00702335"/>
    <w:rsid w:val="00702CA5"/>
    <w:rsid w:val="00712230"/>
    <w:rsid w:val="00715310"/>
    <w:rsid w:val="0073168A"/>
    <w:rsid w:val="007366BC"/>
    <w:rsid w:val="0074051F"/>
    <w:rsid w:val="00757770"/>
    <w:rsid w:val="00760613"/>
    <w:rsid w:val="00760F9C"/>
    <w:rsid w:val="007653F3"/>
    <w:rsid w:val="007721A1"/>
    <w:rsid w:val="00772507"/>
    <w:rsid w:val="00775CCC"/>
    <w:rsid w:val="00777A7A"/>
    <w:rsid w:val="0078468D"/>
    <w:rsid w:val="00784F0E"/>
    <w:rsid w:val="007924C3"/>
    <w:rsid w:val="007963C9"/>
    <w:rsid w:val="007A5007"/>
    <w:rsid w:val="007B16FF"/>
    <w:rsid w:val="007C0401"/>
    <w:rsid w:val="007C7870"/>
    <w:rsid w:val="007D4BC4"/>
    <w:rsid w:val="007E171C"/>
    <w:rsid w:val="007E2C65"/>
    <w:rsid w:val="007F1B08"/>
    <w:rsid w:val="00820E58"/>
    <w:rsid w:val="00835A97"/>
    <w:rsid w:val="0084136C"/>
    <w:rsid w:val="00852AE3"/>
    <w:rsid w:val="0086100F"/>
    <w:rsid w:val="00867B0A"/>
    <w:rsid w:val="008720EA"/>
    <w:rsid w:val="008860DB"/>
    <w:rsid w:val="008A69E8"/>
    <w:rsid w:val="008D5FD3"/>
    <w:rsid w:val="008D61DF"/>
    <w:rsid w:val="008F586D"/>
    <w:rsid w:val="008F7596"/>
    <w:rsid w:val="00911291"/>
    <w:rsid w:val="0091209D"/>
    <w:rsid w:val="00916694"/>
    <w:rsid w:val="00922360"/>
    <w:rsid w:val="00925079"/>
    <w:rsid w:val="00933493"/>
    <w:rsid w:val="00944571"/>
    <w:rsid w:val="0094586B"/>
    <w:rsid w:val="009523C4"/>
    <w:rsid w:val="00952D93"/>
    <w:rsid w:val="009713E4"/>
    <w:rsid w:val="009857E8"/>
    <w:rsid w:val="009950F9"/>
    <w:rsid w:val="009A2C25"/>
    <w:rsid w:val="009B3243"/>
    <w:rsid w:val="009C797B"/>
    <w:rsid w:val="009E5C8D"/>
    <w:rsid w:val="00A534DF"/>
    <w:rsid w:val="00A81B92"/>
    <w:rsid w:val="00A92F7C"/>
    <w:rsid w:val="00AC2D3F"/>
    <w:rsid w:val="00AD6EC8"/>
    <w:rsid w:val="00AE19B4"/>
    <w:rsid w:val="00B04E23"/>
    <w:rsid w:val="00B22220"/>
    <w:rsid w:val="00B356AE"/>
    <w:rsid w:val="00B45485"/>
    <w:rsid w:val="00B56E81"/>
    <w:rsid w:val="00B92340"/>
    <w:rsid w:val="00BA604E"/>
    <w:rsid w:val="00BC636D"/>
    <w:rsid w:val="00BD3A37"/>
    <w:rsid w:val="00C166E8"/>
    <w:rsid w:val="00C27403"/>
    <w:rsid w:val="00C41BDD"/>
    <w:rsid w:val="00C4229E"/>
    <w:rsid w:val="00C52522"/>
    <w:rsid w:val="00C82EE3"/>
    <w:rsid w:val="00C9332F"/>
    <w:rsid w:val="00C96C66"/>
    <w:rsid w:val="00C97D64"/>
    <w:rsid w:val="00CA3E26"/>
    <w:rsid w:val="00CA78B0"/>
    <w:rsid w:val="00CB6BA9"/>
    <w:rsid w:val="00CB77D9"/>
    <w:rsid w:val="00CC05F9"/>
    <w:rsid w:val="00CC2C40"/>
    <w:rsid w:val="00CE1EF1"/>
    <w:rsid w:val="00D004B5"/>
    <w:rsid w:val="00D34C22"/>
    <w:rsid w:val="00D40D85"/>
    <w:rsid w:val="00D553BB"/>
    <w:rsid w:val="00D62180"/>
    <w:rsid w:val="00D7631E"/>
    <w:rsid w:val="00D809A1"/>
    <w:rsid w:val="00D87D05"/>
    <w:rsid w:val="00D95413"/>
    <w:rsid w:val="00D95648"/>
    <w:rsid w:val="00DB7C9A"/>
    <w:rsid w:val="00DC06C1"/>
    <w:rsid w:val="00DC2848"/>
    <w:rsid w:val="00E1173C"/>
    <w:rsid w:val="00E12E4E"/>
    <w:rsid w:val="00E303E1"/>
    <w:rsid w:val="00E366A8"/>
    <w:rsid w:val="00E42FD2"/>
    <w:rsid w:val="00E62564"/>
    <w:rsid w:val="00E625CB"/>
    <w:rsid w:val="00E6454D"/>
    <w:rsid w:val="00E667F5"/>
    <w:rsid w:val="00E6686E"/>
    <w:rsid w:val="00E74FBD"/>
    <w:rsid w:val="00E810A8"/>
    <w:rsid w:val="00E936A2"/>
    <w:rsid w:val="00EA7662"/>
    <w:rsid w:val="00EB10B6"/>
    <w:rsid w:val="00EC1F06"/>
    <w:rsid w:val="00ED750D"/>
    <w:rsid w:val="00EE1B4B"/>
    <w:rsid w:val="00EE3BD8"/>
    <w:rsid w:val="00EE46E7"/>
    <w:rsid w:val="00F172E4"/>
    <w:rsid w:val="00F22D45"/>
    <w:rsid w:val="00F25325"/>
    <w:rsid w:val="00F30914"/>
    <w:rsid w:val="00F3500C"/>
    <w:rsid w:val="00F629A5"/>
    <w:rsid w:val="00F651CE"/>
    <w:rsid w:val="00F76BF0"/>
    <w:rsid w:val="00F80D36"/>
    <w:rsid w:val="00FD109A"/>
    <w:rsid w:val="00FE48AF"/>
    <w:rsid w:val="02E91BE6"/>
    <w:rsid w:val="066D5165"/>
    <w:rsid w:val="08314270"/>
    <w:rsid w:val="083D2B58"/>
    <w:rsid w:val="08B24BCB"/>
    <w:rsid w:val="09292562"/>
    <w:rsid w:val="143D2D46"/>
    <w:rsid w:val="16D7281C"/>
    <w:rsid w:val="17456DD2"/>
    <w:rsid w:val="1A2C5F6F"/>
    <w:rsid w:val="1DB829DA"/>
    <w:rsid w:val="1F5A27DF"/>
    <w:rsid w:val="20A96656"/>
    <w:rsid w:val="27687ED9"/>
    <w:rsid w:val="302D3BF9"/>
    <w:rsid w:val="327F413F"/>
    <w:rsid w:val="3442274A"/>
    <w:rsid w:val="37F21FAA"/>
    <w:rsid w:val="3CF75E69"/>
    <w:rsid w:val="485C6505"/>
    <w:rsid w:val="48AD45E3"/>
    <w:rsid w:val="49486806"/>
    <w:rsid w:val="4AEC5B78"/>
    <w:rsid w:val="5360256F"/>
    <w:rsid w:val="57BD247C"/>
    <w:rsid w:val="5A0F12C0"/>
    <w:rsid w:val="5A766390"/>
    <w:rsid w:val="5CF17AD7"/>
    <w:rsid w:val="61337A52"/>
    <w:rsid w:val="626F0BD3"/>
    <w:rsid w:val="678E165F"/>
    <w:rsid w:val="6CA87888"/>
    <w:rsid w:val="71A3665A"/>
    <w:rsid w:val="78ED749F"/>
    <w:rsid w:val="791A3054"/>
    <w:rsid w:val="7A4E35ED"/>
    <w:rsid w:val="7FF8029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0" w:semiHidden="0" w:name="footnote text"/>
    <w:lsdException w:unhideWhenUsed="0" w:uiPriority="99"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99"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43"/>
    <w:qFormat/>
    <w:uiPriority w:val="0"/>
    <w:pPr>
      <w:keepNext/>
      <w:keepLines/>
      <w:spacing w:before="100" w:beforeAutospacing="1" w:after="100" w:afterAutospacing="1" w:line="360" w:lineRule="auto"/>
      <w:outlineLvl w:val="0"/>
    </w:pPr>
    <w:rPr>
      <w:b/>
      <w:bCs/>
      <w:kern w:val="44"/>
      <w:sz w:val="44"/>
      <w:szCs w:val="44"/>
    </w:rPr>
  </w:style>
  <w:style w:type="paragraph" w:styleId="3">
    <w:name w:val="heading 2"/>
    <w:basedOn w:val="1"/>
    <w:next w:val="1"/>
    <w:link w:val="44"/>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5"/>
    <w:qFormat/>
    <w:uiPriority w:val="9"/>
    <w:pPr>
      <w:keepNext/>
      <w:keepLines/>
      <w:widowControl/>
      <w:spacing w:before="260" w:after="260" w:line="412" w:lineRule="auto"/>
      <w:ind w:firstLine="224" w:firstLineChars="224"/>
      <w:outlineLvl w:val="2"/>
    </w:pPr>
    <w:rPr>
      <w:rFonts w:ascii="Calibri" w:hAnsi="Calibri"/>
      <w:b/>
      <w:bCs/>
      <w:sz w:val="32"/>
      <w:szCs w:val="32"/>
    </w:rPr>
  </w:style>
  <w:style w:type="character" w:default="1" w:styleId="37">
    <w:name w:val="Default Paragraph Font"/>
    <w:semiHidden/>
    <w:uiPriority w:val="0"/>
  </w:style>
  <w:style w:type="table" w:default="1" w:styleId="35">
    <w:name w:val="Normal Table"/>
    <w:semiHidden/>
    <w:uiPriority w:val="0"/>
    <w:tblPr>
      <w:tblStyle w:val="35"/>
      <w:tblCellMar>
        <w:top w:w="0" w:type="dxa"/>
        <w:left w:w="108" w:type="dxa"/>
        <w:bottom w:w="0" w:type="dxa"/>
        <w:right w:w="108" w:type="dxa"/>
      </w:tblCellMar>
    </w:tblPr>
  </w:style>
  <w:style w:type="paragraph" w:styleId="5">
    <w:name w:val="toc 7"/>
    <w:basedOn w:val="1"/>
    <w:next w:val="1"/>
    <w:unhideWhenUsed/>
    <w:uiPriority w:val="39"/>
    <w:pPr>
      <w:ind w:left="2520" w:leftChars="1200"/>
    </w:pPr>
    <w:rPr>
      <w:rFonts w:ascii="Calibri" w:hAnsi="Calibri" w:eastAsia="宋体" w:cs="Times New Roman"/>
      <w:szCs w:val="22"/>
    </w:rPr>
  </w:style>
  <w:style w:type="paragraph" w:styleId="6">
    <w:name w:val="Normal Indent"/>
    <w:basedOn w:val="1"/>
    <w:uiPriority w:val="0"/>
    <w:pPr>
      <w:ind w:firstLine="420"/>
    </w:pPr>
    <w:rPr>
      <w:rFonts w:ascii="Garamond" w:hAnsi="Garamond"/>
      <w:kern w:val="0"/>
      <w:sz w:val="18"/>
      <w:szCs w:val="20"/>
    </w:rPr>
  </w:style>
  <w:style w:type="paragraph" w:styleId="7">
    <w:name w:val="caption"/>
    <w:basedOn w:val="1"/>
    <w:next w:val="1"/>
    <w:link w:val="46"/>
    <w:qFormat/>
    <w:uiPriority w:val="35"/>
    <w:rPr>
      <w:rFonts w:ascii="Cambria" w:hAnsi="Cambria" w:eastAsia="黑体"/>
      <w:sz w:val="20"/>
      <w:szCs w:val="20"/>
    </w:rPr>
  </w:style>
  <w:style w:type="paragraph" w:styleId="8">
    <w:name w:val="Document Map"/>
    <w:basedOn w:val="1"/>
    <w:link w:val="47"/>
    <w:unhideWhenUsed/>
    <w:uiPriority w:val="99"/>
    <w:rPr>
      <w:rFonts w:ascii="宋体"/>
      <w:sz w:val="18"/>
      <w:szCs w:val="18"/>
    </w:rPr>
  </w:style>
  <w:style w:type="paragraph" w:styleId="9">
    <w:name w:val="annotation text"/>
    <w:basedOn w:val="1"/>
    <w:link w:val="48"/>
    <w:uiPriority w:val="99"/>
    <w:pPr>
      <w:jc w:val="left"/>
    </w:pPr>
  </w:style>
  <w:style w:type="paragraph" w:styleId="10">
    <w:name w:val="Body Text 3"/>
    <w:basedOn w:val="1"/>
    <w:link w:val="49"/>
    <w:uiPriority w:val="0"/>
    <w:pPr>
      <w:spacing w:after="120"/>
    </w:pPr>
    <w:rPr>
      <w:sz w:val="16"/>
      <w:szCs w:val="16"/>
    </w:rPr>
  </w:style>
  <w:style w:type="paragraph" w:styleId="11">
    <w:name w:val="Body Text"/>
    <w:basedOn w:val="1"/>
    <w:link w:val="50"/>
    <w:uiPriority w:val="0"/>
    <w:pPr>
      <w:spacing w:after="120"/>
    </w:pPr>
  </w:style>
  <w:style w:type="paragraph" w:styleId="12">
    <w:name w:val="Body Text Indent"/>
    <w:basedOn w:val="1"/>
    <w:link w:val="51"/>
    <w:uiPriority w:val="0"/>
    <w:pPr>
      <w:spacing w:after="120"/>
      <w:ind w:left="420" w:leftChars="200"/>
    </w:pPr>
  </w:style>
  <w:style w:type="paragraph" w:styleId="13">
    <w:name w:val="toc 5"/>
    <w:basedOn w:val="1"/>
    <w:next w:val="1"/>
    <w:unhideWhenUsed/>
    <w:uiPriority w:val="39"/>
    <w:pPr>
      <w:ind w:left="1680" w:leftChars="800"/>
    </w:pPr>
    <w:rPr>
      <w:rFonts w:ascii="Calibri" w:hAnsi="Calibri" w:eastAsia="宋体" w:cs="Times New Roman"/>
      <w:szCs w:val="22"/>
    </w:rPr>
  </w:style>
  <w:style w:type="paragraph" w:styleId="14">
    <w:name w:val="toc 3"/>
    <w:basedOn w:val="1"/>
    <w:next w:val="1"/>
    <w:unhideWhenUsed/>
    <w:uiPriority w:val="39"/>
    <w:pPr>
      <w:ind w:left="840" w:leftChars="400"/>
    </w:pPr>
  </w:style>
  <w:style w:type="paragraph" w:styleId="15">
    <w:name w:val="Plain Text"/>
    <w:basedOn w:val="1"/>
    <w:link w:val="52"/>
    <w:uiPriority w:val="0"/>
    <w:pPr>
      <w:ind w:firstLine="420" w:firstLineChars="200"/>
    </w:pPr>
    <w:rPr>
      <w:rFonts w:ascii="宋体" w:hAnsi="Roman 10cpi"/>
      <w:szCs w:val="20"/>
    </w:rPr>
  </w:style>
  <w:style w:type="paragraph" w:styleId="16">
    <w:name w:val="toc 8"/>
    <w:basedOn w:val="1"/>
    <w:next w:val="1"/>
    <w:unhideWhenUsed/>
    <w:uiPriority w:val="39"/>
    <w:pPr>
      <w:ind w:left="2940" w:leftChars="1400"/>
    </w:pPr>
    <w:rPr>
      <w:rFonts w:ascii="Calibri" w:hAnsi="Calibri" w:eastAsia="宋体" w:cs="Times New Roman"/>
      <w:szCs w:val="22"/>
    </w:rPr>
  </w:style>
  <w:style w:type="paragraph" w:styleId="17">
    <w:name w:val="Date"/>
    <w:basedOn w:val="1"/>
    <w:next w:val="1"/>
    <w:link w:val="53"/>
    <w:uiPriority w:val="0"/>
    <w:pPr>
      <w:ind w:left="100" w:leftChars="2500"/>
    </w:pPr>
  </w:style>
  <w:style w:type="paragraph" w:styleId="18">
    <w:name w:val="Body Text Indent 2"/>
    <w:basedOn w:val="1"/>
    <w:link w:val="54"/>
    <w:uiPriority w:val="0"/>
    <w:pPr>
      <w:ind w:left="1" w:firstLine="538" w:firstLineChars="192"/>
    </w:pPr>
    <w:rPr>
      <w:sz w:val="28"/>
    </w:rPr>
  </w:style>
  <w:style w:type="paragraph" w:styleId="19">
    <w:name w:val="Balloon Text"/>
    <w:basedOn w:val="1"/>
    <w:link w:val="55"/>
    <w:unhideWhenUsed/>
    <w:uiPriority w:val="99"/>
    <w:rPr>
      <w:sz w:val="18"/>
      <w:szCs w:val="18"/>
    </w:rPr>
  </w:style>
  <w:style w:type="paragraph" w:styleId="20">
    <w:name w:val="footer"/>
    <w:basedOn w:val="1"/>
    <w:link w:val="56"/>
    <w:uiPriority w:val="99"/>
    <w:pPr>
      <w:tabs>
        <w:tab w:val="center" w:pos="4153"/>
        <w:tab w:val="right" w:pos="8306"/>
      </w:tabs>
      <w:snapToGrid w:val="0"/>
      <w:jc w:val="left"/>
    </w:pPr>
    <w:rPr>
      <w:sz w:val="18"/>
      <w:szCs w:val="18"/>
    </w:rPr>
  </w:style>
  <w:style w:type="paragraph" w:styleId="21">
    <w:name w:val="header"/>
    <w:basedOn w:val="1"/>
    <w:link w:val="57"/>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iPriority w:val="39"/>
    <w:pPr>
      <w:spacing w:line="300" w:lineRule="atLeast"/>
    </w:pPr>
    <w:rPr>
      <w:rFonts w:ascii="宋体"/>
      <w:szCs w:val="20"/>
    </w:rPr>
  </w:style>
  <w:style w:type="paragraph" w:styleId="23">
    <w:name w:val="toc 4"/>
    <w:basedOn w:val="1"/>
    <w:next w:val="1"/>
    <w:unhideWhenUsed/>
    <w:uiPriority w:val="39"/>
    <w:pPr>
      <w:ind w:left="1260" w:leftChars="600"/>
    </w:pPr>
    <w:rPr>
      <w:rFonts w:ascii="Calibri" w:hAnsi="Calibri" w:eastAsia="宋体" w:cs="Times New Roman"/>
      <w:szCs w:val="22"/>
    </w:rPr>
  </w:style>
  <w:style w:type="paragraph" w:styleId="24">
    <w:name w:val="Subtitle"/>
    <w:basedOn w:val="1"/>
    <w:next w:val="1"/>
    <w:link w:val="58"/>
    <w:qFormat/>
    <w:uiPriority w:val="0"/>
    <w:pPr>
      <w:widowControl/>
      <w:spacing w:before="240" w:after="60" w:line="312" w:lineRule="auto"/>
      <w:ind w:firstLine="224" w:firstLineChars="224"/>
      <w:jc w:val="center"/>
      <w:outlineLvl w:val="1"/>
    </w:pPr>
    <w:rPr>
      <w:rFonts w:ascii="Cambria" w:hAnsi="Cambria"/>
      <w:b/>
      <w:bCs/>
      <w:kern w:val="28"/>
      <w:sz w:val="32"/>
      <w:szCs w:val="32"/>
    </w:rPr>
  </w:style>
  <w:style w:type="paragraph" w:styleId="25">
    <w:name w:val="footnote text"/>
    <w:basedOn w:val="1"/>
    <w:link w:val="59"/>
    <w:unhideWhenUsed/>
    <w:uiPriority w:val="0"/>
    <w:pPr>
      <w:snapToGrid w:val="0"/>
      <w:jc w:val="left"/>
    </w:pPr>
    <w:rPr>
      <w:kern w:val="0"/>
      <w:sz w:val="18"/>
      <w:szCs w:val="18"/>
    </w:rPr>
  </w:style>
  <w:style w:type="paragraph" w:styleId="26">
    <w:name w:val="toc 6"/>
    <w:basedOn w:val="1"/>
    <w:next w:val="1"/>
    <w:unhideWhenUsed/>
    <w:uiPriority w:val="39"/>
    <w:pPr>
      <w:ind w:left="2100" w:leftChars="1000"/>
    </w:pPr>
    <w:rPr>
      <w:rFonts w:ascii="Calibri" w:hAnsi="Calibri" w:eastAsia="宋体" w:cs="Times New Roman"/>
      <w:szCs w:val="22"/>
    </w:rPr>
  </w:style>
  <w:style w:type="paragraph" w:styleId="27">
    <w:name w:val="Body Text Indent 3"/>
    <w:basedOn w:val="1"/>
    <w:link w:val="60"/>
    <w:uiPriority w:val="0"/>
    <w:pPr>
      <w:spacing w:after="120"/>
      <w:ind w:left="420" w:leftChars="200"/>
    </w:pPr>
    <w:rPr>
      <w:sz w:val="16"/>
      <w:szCs w:val="16"/>
    </w:rPr>
  </w:style>
  <w:style w:type="paragraph" w:styleId="28">
    <w:name w:val="toc 2"/>
    <w:basedOn w:val="1"/>
    <w:next w:val="1"/>
    <w:unhideWhenUsed/>
    <w:uiPriority w:val="39"/>
    <w:pPr>
      <w:ind w:left="420" w:leftChars="200"/>
    </w:pPr>
  </w:style>
  <w:style w:type="paragraph" w:styleId="29">
    <w:name w:val="toc 9"/>
    <w:basedOn w:val="1"/>
    <w:next w:val="1"/>
    <w:unhideWhenUsed/>
    <w:uiPriority w:val="39"/>
    <w:pPr>
      <w:ind w:left="3360" w:leftChars="1600"/>
    </w:pPr>
    <w:rPr>
      <w:rFonts w:ascii="Calibri" w:hAnsi="Calibri" w:eastAsia="宋体" w:cs="Times New Roman"/>
      <w:szCs w:val="22"/>
    </w:rPr>
  </w:style>
  <w:style w:type="paragraph" w:styleId="30">
    <w:name w:val="Body Text 2"/>
    <w:basedOn w:val="1"/>
    <w:link w:val="61"/>
    <w:uiPriority w:val="0"/>
    <w:pPr>
      <w:spacing w:after="120" w:line="480" w:lineRule="auto"/>
    </w:pPr>
  </w:style>
  <w:style w:type="paragraph" w:styleId="31">
    <w:name w:val="Normal (Web)"/>
    <w:basedOn w:val="1"/>
    <w:uiPriority w:val="0"/>
    <w:pPr>
      <w:widowControl/>
      <w:spacing w:before="100" w:beforeAutospacing="1" w:after="100" w:afterAutospacing="1"/>
      <w:jc w:val="left"/>
    </w:pPr>
    <w:rPr>
      <w:rFonts w:hint="eastAsia" w:ascii="宋体" w:hAnsi="宋体"/>
      <w:kern w:val="0"/>
      <w:sz w:val="24"/>
    </w:rPr>
  </w:style>
  <w:style w:type="paragraph" w:styleId="32">
    <w:name w:val="index 1"/>
    <w:basedOn w:val="1"/>
    <w:next w:val="1"/>
    <w:uiPriority w:val="0"/>
  </w:style>
  <w:style w:type="paragraph" w:styleId="33">
    <w:name w:val="Title"/>
    <w:basedOn w:val="1"/>
    <w:next w:val="1"/>
    <w:link w:val="62"/>
    <w:qFormat/>
    <w:uiPriority w:val="0"/>
    <w:pPr>
      <w:spacing w:before="240" w:after="60"/>
      <w:jc w:val="center"/>
      <w:outlineLvl w:val="0"/>
    </w:pPr>
    <w:rPr>
      <w:rFonts w:ascii="Cambria" w:hAnsi="Cambria"/>
      <w:b/>
      <w:bCs/>
      <w:sz w:val="32"/>
      <w:szCs w:val="32"/>
    </w:rPr>
  </w:style>
  <w:style w:type="paragraph" w:styleId="34">
    <w:name w:val="annotation subject"/>
    <w:basedOn w:val="9"/>
    <w:next w:val="9"/>
    <w:link w:val="63"/>
    <w:uiPriority w:val="0"/>
    <w:rPr>
      <w:b/>
      <w:bCs/>
    </w:rPr>
  </w:style>
  <w:style w:type="table" w:styleId="36">
    <w:name w:val="Table Grid"/>
    <w:basedOn w:val="35"/>
    <w:uiPriority w:val="59"/>
    <w:rPr>
      <w:rFonts w:ascii="Calibri" w:hAnsi="Calibri" w:eastAsia="宋体" w:cs="Times New Roman"/>
      <w:kern w:val="2"/>
      <w:sz w:val="21"/>
      <w:szCs w:val="22"/>
    </w:rPr>
    <w:tblPr>
      <w:tblStyle w:val="35"/>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page number"/>
    <w:basedOn w:val="37"/>
    <w:uiPriority w:val="0"/>
  </w:style>
  <w:style w:type="character" w:styleId="39">
    <w:name w:val="Emphasis"/>
    <w:qFormat/>
    <w:uiPriority w:val="20"/>
    <w:rPr>
      <w:i/>
      <w:iCs/>
    </w:rPr>
  </w:style>
  <w:style w:type="character" w:styleId="40">
    <w:name w:val="Hyperlink"/>
    <w:unhideWhenUsed/>
    <w:uiPriority w:val="99"/>
    <w:rPr>
      <w:color w:val="0000FF"/>
      <w:u w:val="single"/>
    </w:rPr>
  </w:style>
  <w:style w:type="character" w:styleId="41">
    <w:name w:val="annotation reference"/>
    <w:uiPriority w:val="0"/>
    <w:rPr>
      <w:sz w:val="21"/>
      <w:szCs w:val="21"/>
    </w:rPr>
  </w:style>
  <w:style w:type="character" w:styleId="42">
    <w:name w:val="footnote reference"/>
    <w:uiPriority w:val="0"/>
    <w:rPr>
      <w:vertAlign w:val="superscript"/>
    </w:rPr>
  </w:style>
  <w:style w:type="character" w:customStyle="1" w:styleId="43">
    <w:name w:val="标题 1 Char"/>
    <w:link w:val="2"/>
    <w:uiPriority w:val="0"/>
    <w:rPr>
      <w:b/>
      <w:bCs/>
      <w:kern w:val="44"/>
      <w:sz w:val="44"/>
      <w:szCs w:val="44"/>
    </w:rPr>
  </w:style>
  <w:style w:type="character" w:customStyle="1" w:styleId="44">
    <w:name w:val="标题 2 Char"/>
    <w:link w:val="3"/>
    <w:uiPriority w:val="9"/>
    <w:rPr>
      <w:rFonts w:ascii="Arial" w:hAnsi="Arial" w:eastAsia="黑体"/>
      <w:b/>
      <w:bCs/>
      <w:kern w:val="2"/>
      <w:sz w:val="32"/>
      <w:szCs w:val="32"/>
    </w:rPr>
  </w:style>
  <w:style w:type="character" w:customStyle="1" w:styleId="45">
    <w:name w:val="标题 3 Char"/>
    <w:link w:val="4"/>
    <w:semiHidden/>
    <w:uiPriority w:val="9"/>
    <w:rPr>
      <w:rFonts w:ascii="Calibri" w:hAnsi="Calibri" w:cs="Times New Roman"/>
      <w:b/>
      <w:bCs/>
      <w:kern w:val="2"/>
      <w:sz w:val="32"/>
      <w:szCs w:val="32"/>
    </w:rPr>
  </w:style>
  <w:style w:type="character" w:customStyle="1" w:styleId="46">
    <w:name w:val="题注 Char"/>
    <w:link w:val="7"/>
    <w:uiPriority w:val="35"/>
    <w:rPr>
      <w:rFonts w:ascii="Cambria" w:hAnsi="Cambria" w:eastAsia="黑体"/>
      <w:kern w:val="2"/>
    </w:rPr>
  </w:style>
  <w:style w:type="character" w:customStyle="1" w:styleId="47">
    <w:name w:val="文档结构图 Char"/>
    <w:link w:val="8"/>
    <w:uiPriority w:val="99"/>
    <w:rPr>
      <w:rFonts w:ascii="宋体"/>
      <w:kern w:val="2"/>
      <w:sz w:val="18"/>
      <w:szCs w:val="18"/>
    </w:rPr>
  </w:style>
  <w:style w:type="character" w:customStyle="1" w:styleId="48">
    <w:name w:val="批注文字 Char"/>
    <w:link w:val="9"/>
    <w:uiPriority w:val="99"/>
    <w:rPr>
      <w:kern w:val="2"/>
      <w:sz w:val="21"/>
      <w:szCs w:val="24"/>
    </w:rPr>
  </w:style>
  <w:style w:type="character" w:customStyle="1" w:styleId="49">
    <w:name w:val="正文文本 3 Char"/>
    <w:link w:val="10"/>
    <w:uiPriority w:val="0"/>
    <w:rPr>
      <w:kern w:val="2"/>
      <w:sz w:val="16"/>
      <w:szCs w:val="16"/>
    </w:rPr>
  </w:style>
  <w:style w:type="character" w:customStyle="1" w:styleId="50">
    <w:name w:val="正文文本 Char"/>
    <w:link w:val="11"/>
    <w:uiPriority w:val="0"/>
    <w:rPr>
      <w:kern w:val="2"/>
      <w:sz w:val="21"/>
      <w:szCs w:val="24"/>
    </w:rPr>
  </w:style>
  <w:style w:type="character" w:customStyle="1" w:styleId="51">
    <w:name w:val="正文文本缩进 Char"/>
    <w:link w:val="12"/>
    <w:uiPriority w:val="0"/>
    <w:rPr>
      <w:kern w:val="2"/>
      <w:sz w:val="21"/>
      <w:szCs w:val="24"/>
    </w:rPr>
  </w:style>
  <w:style w:type="character" w:customStyle="1" w:styleId="52">
    <w:name w:val="纯文本 Char"/>
    <w:link w:val="15"/>
    <w:uiPriority w:val="0"/>
    <w:rPr>
      <w:rFonts w:ascii="宋体" w:hAnsi="Roman 10cpi"/>
      <w:kern w:val="2"/>
      <w:sz w:val="21"/>
    </w:rPr>
  </w:style>
  <w:style w:type="character" w:customStyle="1" w:styleId="53">
    <w:name w:val="日期 Char"/>
    <w:link w:val="17"/>
    <w:uiPriority w:val="0"/>
    <w:rPr>
      <w:kern w:val="2"/>
      <w:sz w:val="21"/>
      <w:szCs w:val="24"/>
    </w:rPr>
  </w:style>
  <w:style w:type="character" w:customStyle="1" w:styleId="54">
    <w:name w:val="正文文本缩进 2 Char"/>
    <w:link w:val="18"/>
    <w:uiPriority w:val="0"/>
    <w:rPr>
      <w:kern w:val="2"/>
      <w:sz w:val="28"/>
      <w:szCs w:val="24"/>
    </w:rPr>
  </w:style>
  <w:style w:type="character" w:customStyle="1" w:styleId="55">
    <w:name w:val="批注框文本 Char"/>
    <w:link w:val="19"/>
    <w:uiPriority w:val="99"/>
    <w:rPr>
      <w:kern w:val="2"/>
      <w:sz w:val="18"/>
      <w:szCs w:val="18"/>
    </w:rPr>
  </w:style>
  <w:style w:type="character" w:customStyle="1" w:styleId="56">
    <w:name w:val="页脚 Char"/>
    <w:link w:val="20"/>
    <w:uiPriority w:val="99"/>
    <w:rPr>
      <w:kern w:val="2"/>
      <w:sz w:val="18"/>
      <w:szCs w:val="18"/>
    </w:rPr>
  </w:style>
  <w:style w:type="character" w:customStyle="1" w:styleId="57">
    <w:name w:val="页眉 Char"/>
    <w:link w:val="21"/>
    <w:uiPriority w:val="99"/>
    <w:rPr>
      <w:kern w:val="2"/>
      <w:sz w:val="18"/>
      <w:szCs w:val="18"/>
    </w:rPr>
  </w:style>
  <w:style w:type="character" w:customStyle="1" w:styleId="58">
    <w:name w:val="副标题 Char"/>
    <w:link w:val="24"/>
    <w:uiPriority w:val="0"/>
    <w:rPr>
      <w:rFonts w:ascii="Cambria" w:hAnsi="Cambria" w:cs="Times New Roman"/>
      <w:b/>
      <w:bCs/>
      <w:kern w:val="28"/>
      <w:sz w:val="32"/>
      <w:szCs w:val="32"/>
    </w:rPr>
  </w:style>
  <w:style w:type="character" w:customStyle="1" w:styleId="59">
    <w:name w:val="脚注文本 Char"/>
    <w:link w:val="25"/>
    <w:uiPriority w:val="0"/>
    <w:rPr>
      <w:sz w:val="18"/>
      <w:szCs w:val="18"/>
    </w:rPr>
  </w:style>
  <w:style w:type="character" w:customStyle="1" w:styleId="60">
    <w:name w:val="正文文本缩进 3 Char"/>
    <w:link w:val="27"/>
    <w:uiPriority w:val="0"/>
    <w:rPr>
      <w:kern w:val="2"/>
      <w:sz w:val="16"/>
      <w:szCs w:val="16"/>
    </w:rPr>
  </w:style>
  <w:style w:type="character" w:customStyle="1" w:styleId="61">
    <w:name w:val="正文文本 2 Char"/>
    <w:link w:val="30"/>
    <w:uiPriority w:val="0"/>
    <w:rPr>
      <w:kern w:val="2"/>
      <w:sz w:val="21"/>
      <w:szCs w:val="24"/>
    </w:rPr>
  </w:style>
  <w:style w:type="character" w:customStyle="1" w:styleId="62">
    <w:name w:val="标题 Char"/>
    <w:link w:val="33"/>
    <w:uiPriority w:val="0"/>
    <w:rPr>
      <w:rFonts w:ascii="Cambria" w:hAnsi="Cambria" w:cs="Times New Roman"/>
      <w:b/>
      <w:bCs/>
      <w:kern w:val="2"/>
      <w:sz w:val="32"/>
      <w:szCs w:val="32"/>
    </w:rPr>
  </w:style>
  <w:style w:type="character" w:customStyle="1" w:styleId="63">
    <w:name w:val="批注主题 Char"/>
    <w:link w:val="34"/>
    <w:uiPriority w:val="0"/>
    <w:rPr>
      <w:b/>
      <w:bCs/>
      <w:kern w:val="2"/>
      <w:sz w:val="21"/>
      <w:szCs w:val="24"/>
    </w:rPr>
  </w:style>
  <w:style w:type="character" w:customStyle="1" w:styleId="64">
    <w:name w:val="a） Char"/>
    <w:link w:val="65"/>
    <w:uiPriority w:val="0"/>
    <w:rPr>
      <w:rFonts w:ascii="宋体" w:hAnsi="宋体"/>
      <w:b/>
      <w:color w:val="000000"/>
      <w:kern w:val="2"/>
      <w:sz w:val="28"/>
      <w:szCs w:val="28"/>
    </w:rPr>
  </w:style>
  <w:style w:type="paragraph" w:customStyle="1" w:styleId="65">
    <w:name w:val="a）"/>
    <w:basedOn w:val="1"/>
    <w:link w:val="64"/>
    <w:uiPriority w:val="0"/>
    <w:pPr>
      <w:spacing w:line="360" w:lineRule="auto"/>
      <w:ind w:firstLine="551" w:firstLineChars="196"/>
    </w:pPr>
    <w:rPr>
      <w:rFonts w:ascii="宋体" w:hAnsi="宋体"/>
      <w:b/>
      <w:color w:val="000000"/>
      <w:sz w:val="28"/>
      <w:szCs w:val="28"/>
    </w:rPr>
  </w:style>
  <w:style w:type="character" w:customStyle="1" w:styleId="66">
    <w:name w:val="表头 Char"/>
    <w:link w:val="67"/>
    <w:uiPriority w:val="0"/>
    <w:rPr>
      <w:rFonts w:ascii="黑体" w:hAnsi="黑体" w:eastAsia="黑体" w:cs="Times New Roman"/>
      <w:kern w:val="2"/>
      <w:sz w:val="21"/>
      <w:szCs w:val="21"/>
    </w:rPr>
  </w:style>
  <w:style w:type="paragraph" w:customStyle="1" w:styleId="67">
    <w:name w:val="表头"/>
    <w:basedOn w:val="1"/>
    <w:link w:val="66"/>
    <w:qFormat/>
    <w:uiPriority w:val="0"/>
    <w:pPr>
      <w:widowControl/>
      <w:adjustRightInd w:val="0"/>
      <w:snapToGrid w:val="0"/>
      <w:spacing w:line="400" w:lineRule="exact"/>
      <w:ind w:firstLine="224" w:firstLineChars="224"/>
      <w:jc w:val="center"/>
    </w:pPr>
    <w:rPr>
      <w:rFonts w:ascii="黑体" w:hAnsi="黑体" w:eastAsia="黑体"/>
      <w:szCs w:val="21"/>
    </w:rPr>
  </w:style>
  <w:style w:type="character" w:customStyle="1" w:styleId="68">
    <w:name w:val="表名 Char"/>
    <w:link w:val="69"/>
    <w:uiPriority w:val="99"/>
    <w:rPr>
      <w:rFonts w:ascii="黑体" w:hAnsi="黑体" w:eastAsia="黑体"/>
      <w:kern w:val="2"/>
      <w:sz w:val="21"/>
      <w:szCs w:val="21"/>
    </w:rPr>
  </w:style>
  <w:style w:type="paragraph" w:customStyle="1" w:styleId="69">
    <w:name w:val="表名"/>
    <w:basedOn w:val="1"/>
    <w:link w:val="68"/>
    <w:uiPriority w:val="99"/>
    <w:pPr>
      <w:adjustRightInd w:val="0"/>
      <w:snapToGrid w:val="0"/>
      <w:spacing w:line="400" w:lineRule="exact"/>
      <w:jc w:val="center"/>
    </w:pPr>
    <w:rPr>
      <w:rFonts w:ascii="黑体" w:hAnsi="黑体" w:eastAsia="黑体"/>
      <w:szCs w:val="21"/>
    </w:rPr>
  </w:style>
  <w:style w:type="character" w:customStyle="1" w:styleId="70">
    <w:name w:val="YL图内容 Char"/>
    <w:link w:val="71"/>
    <w:uiPriority w:val="0"/>
    <w:rPr>
      <w:rFonts w:ascii="仿宋" w:hAnsi="仿宋" w:eastAsia="宋体"/>
      <w:color w:val="000000"/>
      <w:kern w:val="2"/>
      <w:sz w:val="21"/>
      <w:szCs w:val="24"/>
    </w:rPr>
  </w:style>
  <w:style w:type="paragraph" w:customStyle="1" w:styleId="71">
    <w:name w:val="YL图内容"/>
    <w:basedOn w:val="1"/>
    <w:link w:val="70"/>
    <w:qFormat/>
    <w:uiPriority w:val="0"/>
    <w:pPr>
      <w:spacing w:line="264" w:lineRule="auto"/>
      <w:jc w:val="center"/>
    </w:pPr>
    <w:rPr>
      <w:rFonts w:ascii="仿宋" w:hAnsi="仿宋"/>
      <w:color w:val="000000"/>
    </w:rPr>
  </w:style>
  <w:style w:type="character" w:customStyle="1" w:styleId="72">
    <w:name w:val="YL六级 Char"/>
    <w:link w:val="73"/>
    <w:uiPriority w:val="0"/>
    <w:rPr>
      <w:rFonts w:ascii="仿宋" w:hAnsi="仿宋" w:eastAsia="宋体"/>
      <w:b/>
      <w:color w:val="000000"/>
      <w:kern w:val="2"/>
      <w:sz w:val="24"/>
      <w:szCs w:val="24"/>
    </w:rPr>
  </w:style>
  <w:style w:type="paragraph" w:customStyle="1" w:styleId="73">
    <w:name w:val="YL六级"/>
    <w:basedOn w:val="1"/>
    <w:link w:val="72"/>
    <w:qFormat/>
    <w:uiPriority w:val="0"/>
    <w:pPr>
      <w:adjustRightInd w:val="0"/>
      <w:spacing w:beforeLines="50" w:afterLines="50"/>
      <w:ind w:firstLine="200" w:firstLineChars="200"/>
      <w:jc w:val="left"/>
      <w:outlineLvl w:val="5"/>
    </w:pPr>
    <w:rPr>
      <w:rFonts w:ascii="仿宋" w:hAnsi="仿宋"/>
      <w:b/>
      <w:color w:val="000000"/>
      <w:sz w:val="24"/>
    </w:rPr>
  </w:style>
  <w:style w:type="character" w:customStyle="1" w:styleId="74">
    <w:name w:val="一级标题 Char"/>
    <w:link w:val="75"/>
    <w:uiPriority w:val="0"/>
    <w:rPr>
      <w:rFonts w:ascii="黑体" w:hAnsi="黑体" w:eastAsia="黑体"/>
      <w:b/>
      <w:kern w:val="2"/>
      <w:sz w:val="36"/>
      <w:szCs w:val="36"/>
    </w:rPr>
  </w:style>
  <w:style w:type="paragraph" w:customStyle="1" w:styleId="75">
    <w:name w:val="一级标题"/>
    <w:basedOn w:val="12"/>
    <w:link w:val="74"/>
    <w:uiPriority w:val="0"/>
    <w:pPr>
      <w:widowControl/>
      <w:spacing w:after="0" w:line="360" w:lineRule="auto"/>
      <w:ind w:left="0" w:leftChars="0"/>
    </w:pPr>
    <w:rPr>
      <w:rFonts w:ascii="黑体" w:hAnsi="黑体" w:eastAsia="黑体"/>
      <w:b/>
      <w:sz w:val="36"/>
      <w:szCs w:val="36"/>
    </w:rPr>
  </w:style>
  <w:style w:type="character" w:customStyle="1" w:styleId="76">
    <w:name w:val="图表 Char"/>
    <w:link w:val="77"/>
    <w:locked/>
    <w:uiPriority w:val="0"/>
    <w:rPr>
      <w:rFonts w:ascii="宋体" w:hAnsi="宋体"/>
    </w:rPr>
  </w:style>
  <w:style w:type="paragraph" w:customStyle="1" w:styleId="77">
    <w:name w:val="图表"/>
    <w:basedOn w:val="1"/>
    <w:link w:val="76"/>
    <w:uiPriority w:val="0"/>
    <w:pPr>
      <w:widowControl/>
      <w:spacing w:line="300" w:lineRule="auto"/>
      <w:ind w:firstLine="223" w:firstLineChars="106"/>
      <w:jc w:val="center"/>
    </w:pPr>
    <w:rPr>
      <w:rFonts w:ascii="宋体" w:hAnsi="宋体"/>
      <w:kern w:val="0"/>
      <w:sz w:val="20"/>
      <w:szCs w:val="20"/>
    </w:rPr>
  </w:style>
  <w:style w:type="character" w:customStyle="1" w:styleId="78">
    <w:name w:val="XN图标 Char"/>
    <w:link w:val="79"/>
    <w:locked/>
    <w:uiPriority w:val="0"/>
    <w:rPr>
      <w:rFonts w:ascii="仿宋" w:hAnsi="仿宋" w:eastAsia="仿宋"/>
      <w:color w:val="000000"/>
      <w:szCs w:val="24"/>
    </w:rPr>
  </w:style>
  <w:style w:type="paragraph" w:customStyle="1" w:styleId="79">
    <w:name w:val="XN图标"/>
    <w:basedOn w:val="1"/>
    <w:link w:val="78"/>
    <w:uiPriority w:val="0"/>
    <w:pPr>
      <w:spacing w:line="264" w:lineRule="auto"/>
      <w:jc w:val="center"/>
    </w:pPr>
    <w:rPr>
      <w:rFonts w:ascii="仿宋" w:hAnsi="仿宋" w:eastAsia="仿宋"/>
      <w:color w:val="000000"/>
      <w:kern w:val="0"/>
      <w:sz w:val="20"/>
    </w:rPr>
  </w:style>
  <w:style w:type="character" w:customStyle="1" w:styleId="80">
    <w:name w:val="样式 宋体 小四"/>
    <w:uiPriority w:val="0"/>
    <w:rPr>
      <w:rFonts w:ascii="宋体" w:hAnsi="宋体"/>
      <w:sz w:val="24"/>
    </w:rPr>
  </w:style>
  <w:style w:type="character" w:customStyle="1" w:styleId="81">
    <w:name w:val="表头 Char Char"/>
    <w:uiPriority w:val="0"/>
    <w:rPr>
      <w:rFonts w:ascii="黑体" w:hAnsi="黑体" w:eastAsia="黑体" w:cs="黑体"/>
      <w:kern w:val="2"/>
      <w:sz w:val="21"/>
      <w:szCs w:val="21"/>
    </w:rPr>
  </w:style>
  <w:style w:type="character" w:customStyle="1" w:styleId="82">
    <w:name w:val="文 Char Char"/>
    <w:uiPriority w:val="0"/>
    <w:rPr>
      <w:rFonts w:ascii="宋体" w:hAnsi="宋体" w:eastAsia="宋体" w:cs="黑体"/>
      <w:kern w:val="2"/>
      <w:sz w:val="24"/>
      <w:szCs w:val="24"/>
    </w:rPr>
  </w:style>
  <w:style w:type="character" w:customStyle="1" w:styleId="83">
    <w:name w:val="图表内容 Char"/>
    <w:basedOn w:val="84"/>
    <w:link w:val="88"/>
    <w:locked/>
    <w:uiPriority w:val="0"/>
  </w:style>
  <w:style w:type="character" w:customStyle="1" w:styleId="84">
    <w:name w:val="图表名1 Char"/>
    <w:basedOn w:val="85"/>
    <w:link w:val="87"/>
    <w:locked/>
    <w:uiPriority w:val="0"/>
  </w:style>
  <w:style w:type="character" w:customStyle="1" w:styleId="85">
    <w:name w:val="图表名 Char"/>
    <w:link w:val="86"/>
    <w:locked/>
    <w:uiPriority w:val="0"/>
    <w:rPr>
      <w:rFonts w:ascii="宋体" w:hAnsi="宋体"/>
      <w:b/>
      <w:bCs/>
      <w:szCs w:val="21"/>
    </w:rPr>
  </w:style>
  <w:style w:type="paragraph" w:customStyle="1" w:styleId="86">
    <w:name w:val="图表名"/>
    <w:basedOn w:val="1"/>
    <w:link w:val="85"/>
    <w:uiPriority w:val="0"/>
    <w:pPr>
      <w:widowControl/>
      <w:spacing w:line="120" w:lineRule="auto"/>
      <w:ind w:firstLine="472" w:firstLineChars="224"/>
      <w:jc w:val="center"/>
    </w:pPr>
    <w:rPr>
      <w:rFonts w:ascii="宋体" w:hAnsi="宋体"/>
      <w:b/>
      <w:bCs/>
      <w:kern w:val="0"/>
      <w:sz w:val="20"/>
      <w:szCs w:val="21"/>
    </w:rPr>
  </w:style>
  <w:style w:type="paragraph" w:customStyle="1" w:styleId="87">
    <w:name w:val="图表名1"/>
    <w:basedOn w:val="86"/>
    <w:link w:val="84"/>
    <w:uiPriority w:val="0"/>
    <w:pPr>
      <w:ind w:left="100" w:leftChars="100" w:right="100" w:rightChars="100" w:firstLine="224"/>
    </w:pPr>
  </w:style>
  <w:style w:type="paragraph" w:customStyle="1" w:styleId="88">
    <w:name w:val="图表内容"/>
    <w:basedOn w:val="87"/>
    <w:link w:val="83"/>
    <w:uiPriority w:val="0"/>
    <w:pPr>
      <w:ind w:left="99" w:leftChars="47" w:right="210" w:firstLine="0" w:firstLineChars="0"/>
    </w:pPr>
  </w:style>
  <w:style w:type="character" w:customStyle="1" w:styleId="89">
    <w:name w:val="二级标题 Char"/>
    <w:link w:val="90"/>
    <w:uiPriority w:val="0"/>
    <w:rPr>
      <w:rFonts w:ascii="黑体" w:hAnsi="黑体" w:eastAsia="黑体"/>
      <w:b/>
      <w:kern w:val="2"/>
      <w:sz w:val="30"/>
      <w:szCs w:val="30"/>
    </w:rPr>
  </w:style>
  <w:style w:type="paragraph" w:customStyle="1" w:styleId="90">
    <w:name w:val="二级标题"/>
    <w:basedOn w:val="12"/>
    <w:link w:val="89"/>
    <w:uiPriority w:val="0"/>
    <w:pPr>
      <w:widowControl/>
      <w:spacing w:after="0" w:line="360" w:lineRule="auto"/>
      <w:ind w:left="0" w:leftChars="0"/>
    </w:pPr>
    <w:rPr>
      <w:rFonts w:ascii="黑体" w:hAnsi="黑体" w:eastAsia="黑体"/>
      <w:b/>
      <w:sz w:val="30"/>
      <w:szCs w:val="30"/>
    </w:rPr>
  </w:style>
  <w:style w:type="character" w:customStyle="1" w:styleId="91">
    <w:name w:val="apple-style-span"/>
    <w:basedOn w:val="37"/>
    <w:uiPriority w:val="0"/>
  </w:style>
  <w:style w:type="character" w:customStyle="1" w:styleId="92">
    <w:name w:val="① Char"/>
    <w:link w:val="93"/>
    <w:uiPriority w:val="0"/>
    <w:rPr>
      <w:rFonts w:ascii="Calibri" w:hAnsi="Calibri" w:eastAsia="宋体" w:cs="Times New Roman"/>
      <w:kern w:val="2"/>
      <w:sz w:val="24"/>
      <w:szCs w:val="22"/>
    </w:rPr>
  </w:style>
  <w:style w:type="paragraph" w:customStyle="1" w:styleId="93">
    <w:name w:val="①"/>
    <w:basedOn w:val="1"/>
    <w:link w:val="92"/>
    <w:uiPriority w:val="0"/>
    <w:pPr>
      <w:widowControl/>
      <w:spacing w:line="400" w:lineRule="exact"/>
      <w:ind w:firstLine="420" w:firstLineChars="224"/>
    </w:pPr>
    <w:rPr>
      <w:rFonts w:ascii="Calibri" w:hAnsi="Calibri"/>
      <w:sz w:val="24"/>
      <w:szCs w:val="22"/>
    </w:rPr>
  </w:style>
  <w:style w:type="character" w:customStyle="1" w:styleId="94">
    <w:name w:val="a标题 Char"/>
    <w:link w:val="95"/>
    <w:uiPriority w:val="0"/>
    <w:rPr>
      <w:rFonts w:ascii="宋体" w:hAnsi="宋体" w:eastAsia="宋体" w:cs="Times New Roman"/>
      <w:b/>
      <w:color w:val="000000"/>
      <w:kern w:val="2"/>
      <w:sz w:val="28"/>
      <w:szCs w:val="28"/>
    </w:rPr>
  </w:style>
  <w:style w:type="paragraph" w:customStyle="1" w:styleId="95">
    <w:name w:val="a标题"/>
    <w:basedOn w:val="1"/>
    <w:link w:val="94"/>
    <w:uiPriority w:val="0"/>
    <w:pPr>
      <w:widowControl/>
      <w:spacing w:line="400" w:lineRule="exact"/>
      <w:ind w:firstLine="551" w:firstLineChars="196"/>
    </w:pPr>
    <w:rPr>
      <w:rFonts w:ascii="宋体" w:hAnsi="宋体"/>
      <w:b/>
      <w:color w:val="000000"/>
      <w:sz w:val="28"/>
      <w:szCs w:val="28"/>
    </w:rPr>
  </w:style>
  <w:style w:type="character" w:customStyle="1" w:styleId="96">
    <w:name w:val="内容 Char"/>
    <w:basedOn w:val="97"/>
    <w:link w:val="99"/>
    <w:uiPriority w:val="0"/>
  </w:style>
  <w:style w:type="character" w:customStyle="1" w:styleId="97">
    <w:name w:val="样式（正文） Char"/>
    <w:link w:val="98"/>
    <w:uiPriority w:val="0"/>
    <w:rPr>
      <w:rFonts w:ascii="Calibri" w:hAnsi="Calibri" w:eastAsia="宋体" w:cs="Times New Roman"/>
      <w:kern w:val="2"/>
      <w:sz w:val="24"/>
      <w:szCs w:val="24"/>
    </w:rPr>
  </w:style>
  <w:style w:type="paragraph" w:customStyle="1" w:styleId="98">
    <w:name w:val="样式（正文）"/>
    <w:basedOn w:val="1"/>
    <w:link w:val="97"/>
    <w:uiPriority w:val="0"/>
    <w:pPr>
      <w:widowControl/>
      <w:spacing w:line="300" w:lineRule="auto"/>
      <w:ind w:firstLine="224" w:firstLineChars="224"/>
    </w:pPr>
    <w:rPr>
      <w:rFonts w:ascii="Calibri" w:hAnsi="Calibri"/>
      <w:sz w:val="24"/>
    </w:rPr>
  </w:style>
  <w:style w:type="paragraph" w:customStyle="1" w:styleId="99">
    <w:name w:val="内容"/>
    <w:basedOn w:val="98"/>
    <w:link w:val="96"/>
    <w:uiPriority w:val="0"/>
    <w:pPr>
      <w:spacing w:line="400" w:lineRule="exact"/>
      <w:ind w:firstLine="538"/>
    </w:pPr>
  </w:style>
  <w:style w:type="character" w:customStyle="1" w:styleId="100">
    <w:name w:val="图表n Char"/>
    <w:basedOn w:val="101"/>
    <w:link w:val="103"/>
    <w:locked/>
    <w:uiPriority w:val="0"/>
  </w:style>
  <w:style w:type="character" w:customStyle="1" w:styleId="101">
    <w:name w:val="图表内 Char"/>
    <w:basedOn w:val="76"/>
    <w:link w:val="102"/>
    <w:locked/>
    <w:uiPriority w:val="0"/>
  </w:style>
  <w:style w:type="paragraph" w:customStyle="1" w:styleId="102">
    <w:name w:val="图表内"/>
    <w:basedOn w:val="77"/>
    <w:link w:val="101"/>
    <w:uiPriority w:val="0"/>
  </w:style>
  <w:style w:type="paragraph" w:customStyle="1" w:styleId="103">
    <w:name w:val="图表n"/>
    <w:basedOn w:val="102"/>
    <w:link w:val="100"/>
    <w:uiPriority w:val="0"/>
    <w:pPr>
      <w:framePr w:hSpace="180" w:wrap="around" w:vAnchor="text" w:hAnchor="margin" w:x="-30" w:y="2"/>
      <w:jc w:val="both"/>
    </w:pPr>
  </w:style>
  <w:style w:type="character" w:customStyle="1" w:styleId="104">
    <w:name w:val="XN二级标题 Char"/>
    <w:link w:val="105"/>
    <w:locked/>
    <w:uiPriority w:val="0"/>
    <w:rPr>
      <w:rFonts w:ascii="仿宋" w:hAnsi="仿宋" w:eastAsia="仿宋"/>
      <w:b/>
      <w:color w:val="000000"/>
      <w:sz w:val="36"/>
      <w:szCs w:val="24"/>
    </w:rPr>
  </w:style>
  <w:style w:type="paragraph" w:customStyle="1" w:styleId="105">
    <w:name w:val="XN二级标题"/>
    <w:basedOn w:val="1"/>
    <w:link w:val="104"/>
    <w:uiPriority w:val="0"/>
    <w:pPr>
      <w:spacing w:afterLines="50"/>
      <w:jc w:val="left"/>
      <w:outlineLvl w:val="1"/>
    </w:pPr>
    <w:rPr>
      <w:rFonts w:ascii="仿宋" w:hAnsi="仿宋" w:eastAsia="仿宋"/>
      <w:b/>
      <w:color w:val="000000"/>
      <w:kern w:val="0"/>
      <w:sz w:val="36"/>
    </w:rPr>
  </w:style>
  <w:style w:type="character" w:customStyle="1" w:styleId="106">
    <w:name w:val="YL正文 Char"/>
    <w:link w:val="107"/>
    <w:uiPriority w:val="0"/>
    <w:rPr>
      <w:rFonts w:ascii="仿宋" w:hAnsi="仿宋" w:eastAsia="宋体"/>
      <w:color w:val="000000"/>
      <w:kern w:val="2"/>
      <w:sz w:val="24"/>
      <w:szCs w:val="24"/>
    </w:rPr>
  </w:style>
  <w:style w:type="paragraph" w:customStyle="1" w:styleId="107">
    <w:name w:val="YL正文"/>
    <w:basedOn w:val="1"/>
    <w:link w:val="106"/>
    <w:qFormat/>
    <w:uiPriority w:val="0"/>
    <w:pPr>
      <w:spacing w:line="300" w:lineRule="auto"/>
      <w:ind w:firstLine="200" w:firstLineChars="200"/>
    </w:pPr>
    <w:rPr>
      <w:rFonts w:ascii="仿宋" w:hAnsi="仿宋"/>
      <w:color w:val="000000"/>
      <w:sz w:val="24"/>
    </w:rPr>
  </w:style>
  <w:style w:type="character" w:customStyle="1" w:styleId="108">
    <w:name w:val="样式（正文） Char Char"/>
    <w:uiPriority w:val="0"/>
    <w:rPr>
      <w:rFonts w:ascii="Calibri" w:hAnsi="Calibri" w:eastAsia="宋体" w:cs="黑体"/>
      <w:kern w:val="2"/>
      <w:sz w:val="24"/>
      <w:szCs w:val="24"/>
    </w:rPr>
  </w:style>
  <w:style w:type="character" w:customStyle="1" w:styleId="109">
    <w:name w:val="1） Char Char"/>
    <w:uiPriority w:val="0"/>
    <w:rPr>
      <w:rFonts w:ascii="宋体" w:hAnsi="宋体"/>
      <w:b/>
      <w:color w:val="000000"/>
      <w:kern w:val="2"/>
      <w:sz w:val="24"/>
      <w:szCs w:val="24"/>
    </w:rPr>
  </w:style>
  <w:style w:type="character" w:customStyle="1" w:styleId="110">
    <w:name w:val="YL二级 Char"/>
    <w:link w:val="111"/>
    <w:uiPriority w:val="0"/>
    <w:rPr>
      <w:rFonts w:ascii="宋体" w:hAnsi="宋体" w:eastAsia="宋体"/>
      <w:b/>
      <w:bCs/>
      <w:kern w:val="2"/>
      <w:sz w:val="28"/>
      <w:szCs w:val="24"/>
    </w:rPr>
  </w:style>
  <w:style w:type="paragraph" w:customStyle="1" w:styleId="111">
    <w:name w:val="YL二级"/>
    <w:basedOn w:val="1"/>
    <w:link w:val="110"/>
    <w:qFormat/>
    <w:uiPriority w:val="0"/>
    <w:pPr>
      <w:adjustRightInd w:val="0"/>
      <w:spacing w:beforeLines="50" w:afterLines="50"/>
      <w:jc w:val="left"/>
      <w:outlineLvl w:val="1"/>
    </w:pPr>
    <w:rPr>
      <w:rFonts w:ascii="宋体" w:hAnsi="宋体"/>
      <w:b/>
      <w:bCs/>
      <w:sz w:val="28"/>
    </w:rPr>
  </w:style>
  <w:style w:type="character" w:customStyle="1" w:styleId="112">
    <w:name w:val="YL表头 Char"/>
    <w:link w:val="113"/>
    <w:uiPriority w:val="0"/>
    <w:rPr>
      <w:rFonts w:ascii="Cambria" w:hAnsi="Cambria" w:eastAsia="宋体"/>
      <w:b/>
      <w:kern w:val="2"/>
      <w:sz w:val="21"/>
    </w:rPr>
  </w:style>
  <w:style w:type="paragraph" w:customStyle="1" w:styleId="113">
    <w:name w:val="YL表头"/>
    <w:basedOn w:val="7"/>
    <w:link w:val="112"/>
    <w:qFormat/>
    <w:uiPriority w:val="0"/>
    <w:pPr>
      <w:spacing w:beforeLines="30" w:afterLines="20"/>
      <w:jc w:val="center"/>
    </w:pPr>
    <w:rPr>
      <w:rFonts w:eastAsia="宋体"/>
      <w:b/>
      <w:sz w:val="21"/>
    </w:rPr>
  </w:style>
  <w:style w:type="character" w:customStyle="1" w:styleId="114">
    <w:name w:val="STL图表内容 Char"/>
    <w:link w:val="115"/>
    <w:uiPriority w:val="0"/>
    <w:rPr>
      <w:rFonts w:ascii="宋体" w:hAnsi="宋体" w:eastAsia="宋体" w:cs="Times New Roman"/>
      <w:color w:val="000000"/>
      <w:kern w:val="2"/>
      <w:sz w:val="21"/>
      <w:szCs w:val="24"/>
    </w:rPr>
  </w:style>
  <w:style w:type="paragraph" w:customStyle="1" w:styleId="115">
    <w:name w:val="STL图表内容"/>
    <w:basedOn w:val="1"/>
    <w:link w:val="114"/>
    <w:uiPriority w:val="0"/>
    <w:pPr>
      <w:tabs>
        <w:tab w:val="left" w:pos="142"/>
      </w:tabs>
      <w:adjustRightInd w:val="0"/>
      <w:snapToGrid w:val="0"/>
      <w:spacing w:line="264" w:lineRule="auto"/>
      <w:jc w:val="center"/>
    </w:pPr>
    <w:rPr>
      <w:rFonts w:ascii="宋体" w:hAnsi="宋体"/>
      <w:color w:val="000000"/>
    </w:rPr>
  </w:style>
  <w:style w:type="character" w:customStyle="1" w:styleId="116">
    <w:name w:val="表格内 Char"/>
    <w:basedOn w:val="117"/>
    <w:link w:val="121"/>
    <w:uiPriority w:val="0"/>
  </w:style>
  <w:style w:type="character" w:customStyle="1" w:styleId="117">
    <w:name w:val="表内的 Char"/>
    <w:basedOn w:val="118"/>
    <w:link w:val="120"/>
    <w:uiPriority w:val="0"/>
  </w:style>
  <w:style w:type="character" w:customStyle="1" w:styleId="118">
    <w:name w:val="表内 Char"/>
    <w:link w:val="119"/>
    <w:uiPriority w:val="0"/>
    <w:rPr>
      <w:rFonts w:ascii="宋体" w:hAnsi="宋体" w:eastAsia="宋体" w:cs="Times New Roman"/>
      <w:kern w:val="2"/>
      <w:sz w:val="21"/>
      <w:szCs w:val="21"/>
    </w:rPr>
  </w:style>
  <w:style w:type="paragraph" w:customStyle="1" w:styleId="119">
    <w:name w:val="表内"/>
    <w:basedOn w:val="1"/>
    <w:link w:val="118"/>
    <w:uiPriority w:val="0"/>
    <w:pPr>
      <w:widowControl/>
      <w:adjustRightInd w:val="0"/>
      <w:snapToGrid w:val="0"/>
      <w:spacing w:line="400" w:lineRule="exact"/>
      <w:ind w:firstLine="224" w:firstLineChars="224"/>
    </w:pPr>
    <w:rPr>
      <w:rFonts w:ascii="宋体" w:hAnsi="宋体"/>
      <w:szCs w:val="21"/>
    </w:rPr>
  </w:style>
  <w:style w:type="paragraph" w:customStyle="1" w:styleId="120">
    <w:name w:val="表内的"/>
    <w:basedOn w:val="119"/>
    <w:link w:val="117"/>
    <w:uiPriority w:val="0"/>
    <w:pPr>
      <w:ind w:firstLine="0" w:firstLineChars="0"/>
    </w:pPr>
  </w:style>
  <w:style w:type="paragraph" w:customStyle="1" w:styleId="121">
    <w:name w:val="表格内"/>
    <w:basedOn w:val="120"/>
    <w:link w:val="116"/>
    <w:uiPriority w:val="0"/>
  </w:style>
  <w:style w:type="character" w:customStyle="1" w:styleId="122">
    <w:name w:val="文 Char"/>
    <w:link w:val="123"/>
    <w:uiPriority w:val="0"/>
    <w:rPr>
      <w:rFonts w:ascii="宋体" w:hAnsi="宋体" w:eastAsia="宋体" w:cs="Times New Roman"/>
      <w:kern w:val="2"/>
      <w:sz w:val="24"/>
      <w:szCs w:val="24"/>
    </w:rPr>
  </w:style>
  <w:style w:type="paragraph" w:customStyle="1" w:styleId="123">
    <w:name w:val="文"/>
    <w:basedOn w:val="99"/>
    <w:link w:val="122"/>
    <w:uiPriority w:val="0"/>
    <w:rPr>
      <w:rFonts w:ascii="宋体" w:hAnsi="宋体"/>
    </w:rPr>
  </w:style>
  <w:style w:type="character" w:customStyle="1" w:styleId="124">
    <w:name w:val="YL五级 Char"/>
    <w:link w:val="125"/>
    <w:uiPriority w:val="0"/>
    <w:rPr>
      <w:rFonts w:ascii="仿宋" w:hAnsi="仿宋" w:eastAsia="宋体"/>
      <w:b/>
      <w:color w:val="000000"/>
      <w:kern w:val="2"/>
      <w:sz w:val="24"/>
      <w:szCs w:val="24"/>
    </w:rPr>
  </w:style>
  <w:style w:type="paragraph" w:customStyle="1" w:styleId="125">
    <w:name w:val="YL五级"/>
    <w:basedOn w:val="1"/>
    <w:link w:val="124"/>
    <w:qFormat/>
    <w:uiPriority w:val="0"/>
    <w:pPr>
      <w:adjustRightInd w:val="0"/>
      <w:spacing w:beforeLines="50" w:afterLines="50"/>
      <w:ind w:firstLine="200" w:firstLineChars="200"/>
      <w:jc w:val="left"/>
      <w:outlineLvl w:val="4"/>
    </w:pPr>
    <w:rPr>
      <w:rFonts w:ascii="仿宋" w:hAnsi="仿宋"/>
      <w:b/>
      <w:color w:val="000000"/>
      <w:sz w:val="24"/>
    </w:rPr>
  </w:style>
  <w:style w:type="character" w:customStyle="1" w:styleId="126">
    <w:name w:val="表格内 Char Char"/>
    <w:uiPriority w:val="0"/>
    <w:rPr>
      <w:rFonts w:ascii="宋体" w:hAnsi="宋体" w:eastAsia="宋体" w:cs="Times New Roman"/>
      <w:kern w:val="2"/>
      <w:sz w:val="21"/>
      <w:szCs w:val="21"/>
    </w:rPr>
  </w:style>
  <w:style w:type="character" w:customStyle="1" w:styleId="127">
    <w:name w:val="text1"/>
    <w:uiPriority w:val="0"/>
    <w:rPr>
      <w:rFonts w:hint="default" w:ascii="Verdana" w:hAnsi="Verdana"/>
      <w:color w:val="222222"/>
      <w:sz w:val="18"/>
      <w:szCs w:val="18"/>
      <w:u w:val="none"/>
    </w:rPr>
  </w:style>
  <w:style w:type="character" w:customStyle="1" w:styleId="128">
    <w:name w:val="count3"/>
    <w:basedOn w:val="37"/>
    <w:uiPriority w:val="0"/>
  </w:style>
  <w:style w:type="character" w:customStyle="1" w:styleId="129">
    <w:name w:val="样式1 Char"/>
    <w:locked/>
    <w:uiPriority w:val="0"/>
    <w:rPr>
      <w:rFonts w:ascii="Arial" w:hAnsi="Arial" w:eastAsia="黑体"/>
      <w:kern w:val="2"/>
      <w:sz w:val="32"/>
      <w:szCs w:val="32"/>
    </w:rPr>
  </w:style>
  <w:style w:type="character" w:customStyle="1" w:styleId="130">
    <w:name w:val="文字 Char"/>
    <w:link w:val="131"/>
    <w:uiPriority w:val="0"/>
    <w:rPr>
      <w:rFonts w:ascii="Calibri" w:hAnsi="Calibri" w:eastAsia="宋体" w:cs="Times New Roman"/>
      <w:bCs/>
      <w:color w:val="000000"/>
      <w:kern w:val="2"/>
      <w:sz w:val="24"/>
      <w:szCs w:val="24"/>
    </w:rPr>
  </w:style>
  <w:style w:type="paragraph" w:customStyle="1" w:styleId="131">
    <w:name w:val="文字"/>
    <w:basedOn w:val="98"/>
    <w:link w:val="130"/>
    <w:uiPriority w:val="0"/>
    <w:pPr>
      <w:spacing w:line="400" w:lineRule="exact"/>
      <w:ind w:firstLine="538"/>
    </w:pPr>
    <w:rPr>
      <w:bCs/>
      <w:color w:val="000000"/>
    </w:rPr>
  </w:style>
  <w:style w:type="character" w:customStyle="1" w:styleId="132">
    <w:name w:val="YL四级 Char"/>
    <w:link w:val="133"/>
    <w:uiPriority w:val="0"/>
    <w:rPr>
      <w:rFonts w:ascii="仿宋" w:hAnsi="仿宋" w:eastAsia="宋体"/>
      <w:b/>
      <w:color w:val="000000"/>
      <w:kern w:val="2"/>
      <w:sz w:val="24"/>
      <w:szCs w:val="24"/>
    </w:rPr>
  </w:style>
  <w:style w:type="paragraph" w:customStyle="1" w:styleId="133">
    <w:name w:val="YL四级"/>
    <w:basedOn w:val="1"/>
    <w:link w:val="132"/>
    <w:qFormat/>
    <w:uiPriority w:val="0"/>
    <w:pPr>
      <w:spacing w:beforeLines="50" w:afterLines="50"/>
      <w:ind w:firstLine="200" w:firstLineChars="200"/>
      <w:jc w:val="left"/>
      <w:outlineLvl w:val="3"/>
    </w:pPr>
    <w:rPr>
      <w:rFonts w:ascii="仿宋" w:hAnsi="仿宋"/>
      <w:b/>
      <w:color w:val="000000"/>
      <w:sz w:val="24"/>
    </w:rPr>
  </w:style>
  <w:style w:type="character" w:customStyle="1" w:styleId="134">
    <w:name w:val="1） Char"/>
    <w:link w:val="135"/>
    <w:uiPriority w:val="0"/>
    <w:rPr>
      <w:rFonts w:ascii="宋体" w:hAnsi="宋体" w:eastAsia="宋体" w:cs="Times New Roman"/>
      <w:b/>
      <w:color w:val="000000"/>
      <w:kern w:val="2"/>
      <w:sz w:val="24"/>
      <w:szCs w:val="22"/>
    </w:rPr>
  </w:style>
  <w:style w:type="paragraph" w:customStyle="1" w:styleId="135">
    <w:name w:val="1）"/>
    <w:basedOn w:val="1"/>
    <w:link w:val="134"/>
    <w:uiPriority w:val="0"/>
    <w:pPr>
      <w:widowControl/>
      <w:spacing w:line="400" w:lineRule="exact"/>
      <w:ind w:firstLine="482" w:firstLineChars="200"/>
    </w:pPr>
    <w:rPr>
      <w:rFonts w:ascii="宋体" w:hAnsi="宋体"/>
      <w:b/>
      <w:color w:val="000000"/>
      <w:sz w:val="24"/>
      <w:szCs w:val="22"/>
    </w:rPr>
  </w:style>
  <w:style w:type="character" w:customStyle="1" w:styleId="136">
    <w:name w:val="STL表头 Char"/>
    <w:link w:val="137"/>
    <w:uiPriority w:val="0"/>
    <w:rPr>
      <w:rFonts w:ascii="Cambria" w:hAnsi="Cambria" w:eastAsia="宋体" w:cs="Times New Roman"/>
      <w:b/>
      <w:kern w:val="2"/>
      <w:sz w:val="21"/>
    </w:rPr>
  </w:style>
  <w:style w:type="paragraph" w:customStyle="1" w:styleId="137">
    <w:name w:val="STL表头"/>
    <w:basedOn w:val="7"/>
    <w:link w:val="136"/>
    <w:uiPriority w:val="0"/>
    <w:pPr>
      <w:spacing w:beforeLines="20" w:afterLines="50"/>
      <w:jc w:val="center"/>
    </w:pPr>
    <w:rPr>
      <w:rFonts w:eastAsia="宋体"/>
      <w:b/>
      <w:sz w:val="21"/>
    </w:rPr>
  </w:style>
  <w:style w:type="character" w:customStyle="1" w:styleId="138">
    <w:name w:val="样式2 Char"/>
    <w:locked/>
    <w:uiPriority w:val="0"/>
    <w:rPr>
      <w:rFonts w:ascii="Calibri" w:hAnsi="Calibri" w:eastAsia="宋体" w:cs="Times New Roman"/>
      <w:kern w:val="2"/>
      <w:sz w:val="32"/>
      <w:szCs w:val="32"/>
    </w:rPr>
  </w:style>
  <w:style w:type="character" w:customStyle="1" w:styleId="139">
    <w:name w:val="正文0 Char"/>
    <w:link w:val="140"/>
    <w:uiPriority w:val="0"/>
    <w:rPr>
      <w:rFonts w:cs="宋体"/>
      <w:sz w:val="24"/>
      <w:szCs w:val="24"/>
    </w:rPr>
  </w:style>
  <w:style w:type="paragraph" w:customStyle="1" w:styleId="140">
    <w:name w:val="正文0"/>
    <w:basedOn w:val="1"/>
    <w:link w:val="139"/>
    <w:uiPriority w:val="0"/>
    <w:pPr>
      <w:adjustRightInd w:val="0"/>
      <w:snapToGrid w:val="0"/>
      <w:spacing w:line="300" w:lineRule="auto"/>
      <w:ind w:firstLine="480" w:firstLineChars="200"/>
      <w:jc w:val="left"/>
    </w:pPr>
    <w:rPr>
      <w:kern w:val="0"/>
      <w:sz w:val="24"/>
    </w:rPr>
  </w:style>
  <w:style w:type="character" w:customStyle="1" w:styleId="141">
    <w:name w:val="XN正文 Char"/>
    <w:link w:val="142"/>
    <w:locked/>
    <w:uiPriority w:val="0"/>
    <w:rPr>
      <w:rFonts w:ascii="仿宋" w:hAnsi="仿宋" w:eastAsia="仿宋"/>
      <w:color w:val="000000"/>
      <w:sz w:val="24"/>
      <w:szCs w:val="24"/>
    </w:rPr>
  </w:style>
  <w:style w:type="paragraph" w:customStyle="1" w:styleId="142">
    <w:name w:val="XN正文"/>
    <w:basedOn w:val="1"/>
    <w:link w:val="141"/>
    <w:uiPriority w:val="0"/>
    <w:pPr>
      <w:spacing w:line="300" w:lineRule="auto"/>
      <w:ind w:firstLine="200" w:firstLineChars="200"/>
    </w:pPr>
    <w:rPr>
      <w:rFonts w:ascii="仿宋" w:hAnsi="仿宋" w:eastAsia="仿宋"/>
      <w:color w:val="000000"/>
      <w:kern w:val="0"/>
      <w:sz w:val="24"/>
    </w:rPr>
  </w:style>
  <w:style w:type="character" w:customStyle="1" w:styleId="143">
    <w:name w:val="XN表头 Char"/>
    <w:link w:val="144"/>
    <w:uiPriority w:val="0"/>
    <w:rPr>
      <w:rFonts w:ascii="Cambria" w:hAnsi="Cambria" w:eastAsia="仿宋"/>
      <w:b/>
      <w:kern w:val="2"/>
      <w:sz w:val="24"/>
    </w:rPr>
  </w:style>
  <w:style w:type="paragraph" w:customStyle="1" w:styleId="144">
    <w:name w:val="XN表头"/>
    <w:basedOn w:val="7"/>
    <w:link w:val="143"/>
    <w:qFormat/>
    <w:uiPriority w:val="0"/>
    <w:pPr>
      <w:spacing w:beforeLines="30" w:afterLines="20"/>
      <w:jc w:val="center"/>
    </w:pPr>
    <w:rPr>
      <w:rFonts w:eastAsia="仿宋"/>
      <w:b/>
      <w:sz w:val="24"/>
    </w:rPr>
  </w:style>
  <w:style w:type="character" w:customStyle="1" w:styleId="145">
    <w:name w:val="表头五号 Char"/>
    <w:link w:val="146"/>
    <w:uiPriority w:val="0"/>
    <w:rPr>
      <w:rFonts w:ascii="宋体" w:hAnsi="宋体"/>
      <w:b/>
      <w:kern w:val="2"/>
      <w:sz w:val="21"/>
      <w:szCs w:val="24"/>
    </w:rPr>
  </w:style>
  <w:style w:type="paragraph" w:customStyle="1" w:styleId="146">
    <w:name w:val="表头五号"/>
    <w:basedOn w:val="1"/>
    <w:link w:val="145"/>
    <w:qFormat/>
    <w:uiPriority w:val="0"/>
    <w:pPr>
      <w:autoSpaceDE w:val="0"/>
      <w:autoSpaceDN w:val="0"/>
      <w:spacing w:beforeLines="50" w:line="300" w:lineRule="auto"/>
      <w:ind w:firstLine="422" w:firstLineChars="200"/>
      <w:jc w:val="center"/>
    </w:pPr>
    <w:rPr>
      <w:rFonts w:ascii="宋体" w:hAnsi="宋体"/>
      <w:b/>
    </w:rPr>
  </w:style>
  <w:style w:type="character" w:customStyle="1" w:styleId="147">
    <w:name w:val="样式3 Char"/>
    <w:link w:val="148"/>
    <w:locked/>
    <w:uiPriority w:val="0"/>
    <w:rPr>
      <w:sz w:val="24"/>
      <w:szCs w:val="24"/>
    </w:rPr>
  </w:style>
  <w:style w:type="paragraph" w:customStyle="1" w:styleId="148">
    <w:name w:val="样式3"/>
    <w:basedOn w:val="1"/>
    <w:link w:val="147"/>
    <w:uiPriority w:val="0"/>
    <w:pPr>
      <w:widowControl/>
      <w:spacing w:line="300" w:lineRule="auto"/>
      <w:ind w:firstLine="224" w:firstLineChars="224"/>
    </w:pPr>
    <w:rPr>
      <w:kern w:val="0"/>
      <w:sz w:val="24"/>
    </w:rPr>
  </w:style>
  <w:style w:type="character" w:customStyle="1" w:styleId="149">
    <w:name w:val="内容 Char Char"/>
    <w:basedOn w:val="108"/>
    <w:uiPriority w:val="0"/>
  </w:style>
  <w:style w:type="character" w:customStyle="1" w:styleId="150">
    <w:name w:val="a Char"/>
    <w:link w:val="151"/>
    <w:uiPriority w:val="0"/>
    <w:rPr>
      <w:rFonts w:ascii="宋体" w:hAnsi="宋体" w:eastAsia="宋体" w:cs="Times New Roman"/>
      <w:b/>
      <w:color w:val="000000"/>
      <w:kern w:val="2"/>
      <w:sz w:val="24"/>
      <w:szCs w:val="24"/>
    </w:rPr>
  </w:style>
  <w:style w:type="paragraph" w:customStyle="1" w:styleId="151">
    <w:name w:val="a"/>
    <w:basedOn w:val="95"/>
    <w:link w:val="150"/>
    <w:uiPriority w:val="0"/>
    <w:pPr>
      <w:spacing w:line="360" w:lineRule="auto"/>
      <w:ind w:firstLine="472"/>
    </w:pPr>
    <w:rPr>
      <w:sz w:val="24"/>
      <w:szCs w:val="24"/>
    </w:rPr>
  </w:style>
  <w:style w:type="character" w:customStyle="1" w:styleId="152">
    <w:name w:val="正文文本缩进 Char Char"/>
    <w:link w:val="153"/>
    <w:uiPriority w:val="0"/>
    <w:rPr>
      <w:rFonts w:ascii="宋体"/>
      <w:sz w:val="24"/>
      <w:szCs w:val="24"/>
    </w:rPr>
  </w:style>
  <w:style w:type="paragraph" w:customStyle="1" w:styleId="153">
    <w:name w:val="正文文本缩进1"/>
    <w:basedOn w:val="1"/>
    <w:link w:val="152"/>
    <w:uiPriority w:val="0"/>
    <w:pPr>
      <w:spacing w:before="100" w:beforeAutospacing="1" w:after="100" w:afterAutospacing="1" w:line="360" w:lineRule="auto"/>
      <w:ind w:firstLine="560" w:firstLineChars="200"/>
    </w:pPr>
    <w:rPr>
      <w:rFonts w:ascii="宋体"/>
      <w:kern w:val="0"/>
      <w:sz w:val="24"/>
    </w:rPr>
  </w:style>
  <w:style w:type="character" w:customStyle="1" w:styleId="154">
    <w:name w:val="XN六级标题 Char"/>
    <w:link w:val="155"/>
    <w:locked/>
    <w:uiPriority w:val="0"/>
    <w:rPr>
      <w:rFonts w:ascii="仿宋" w:hAnsi="仿宋" w:eastAsia="仿宋"/>
      <w:color w:val="000000"/>
      <w:sz w:val="24"/>
      <w:szCs w:val="24"/>
    </w:rPr>
  </w:style>
  <w:style w:type="paragraph" w:customStyle="1" w:styleId="155">
    <w:name w:val="XN六级标题"/>
    <w:basedOn w:val="1"/>
    <w:link w:val="154"/>
    <w:uiPriority w:val="0"/>
    <w:pPr>
      <w:adjustRightInd w:val="0"/>
      <w:spacing w:afterLines="50"/>
      <w:ind w:firstLine="200" w:firstLineChars="200"/>
      <w:jc w:val="left"/>
      <w:outlineLvl w:val="5"/>
    </w:pPr>
    <w:rPr>
      <w:rFonts w:ascii="仿宋" w:hAnsi="仿宋" w:eastAsia="仿宋"/>
      <w:color w:val="000000"/>
      <w:kern w:val="0"/>
      <w:sz w:val="24"/>
    </w:rPr>
  </w:style>
  <w:style w:type="character" w:customStyle="1" w:styleId="156">
    <w:name w:val="title10"/>
    <w:basedOn w:val="37"/>
    <w:uiPriority w:val="0"/>
  </w:style>
  <w:style w:type="character" w:customStyle="1" w:styleId="157">
    <w:name w:val="脚注文本 Char1"/>
    <w:uiPriority w:val="99"/>
    <w:rPr>
      <w:kern w:val="2"/>
      <w:sz w:val="18"/>
      <w:szCs w:val="18"/>
    </w:rPr>
  </w:style>
  <w:style w:type="character" w:customStyle="1" w:styleId="158">
    <w:name w:val="YL三级 Char"/>
    <w:link w:val="159"/>
    <w:uiPriority w:val="0"/>
    <w:rPr>
      <w:rFonts w:ascii="宋体" w:hAnsi="宋体" w:eastAsia="宋体"/>
      <w:b/>
      <w:bCs/>
      <w:kern w:val="2"/>
      <w:sz w:val="24"/>
      <w:szCs w:val="24"/>
    </w:rPr>
  </w:style>
  <w:style w:type="paragraph" w:customStyle="1" w:styleId="159">
    <w:name w:val="YL三级"/>
    <w:basedOn w:val="1"/>
    <w:link w:val="158"/>
    <w:qFormat/>
    <w:uiPriority w:val="0"/>
    <w:pPr>
      <w:adjustRightInd w:val="0"/>
      <w:spacing w:beforeLines="50" w:afterLines="50"/>
      <w:outlineLvl w:val="2"/>
    </w:pPr>
    <w:rPr>
      <w:rFonts w:ascii="宋体" w:hAnsi="宋体"/>
      <w:b/>
      <w:bCs/>
      <w:sz w:val="24"/>
    </w:rPr>
  </w:style>
  <w:style w:type="character" w:customStyle="1" w:styleId="160">
    <w:name w:val="STL图表内容 Char Char"/>
    <w:uiPriority w:val="0"/>
    <w:rPr>
      <w:rFonts w:ascii="宋体" w:hAnsi="宋体"/>
      <w:color w:val="000000"/>
      <w:szCs w:val="24"/>
    </w:rPr>
  </w:style>
  <w:style w:type="character" w:customStyle="1" w:styleId="161">
    <w:name w:val="YL图内容 Char Char"/>
    <w:uiPriority w:val="0"/>
    <w:rPr>
      <w:rFonts w:ascii="仿宋" w:hAnsi="仿宋" w:eastAsia="仿宋" w:cs="Times New Roman"/>
      <w:color w:val="000000"/>
      <w:szCs w:val="24"/>
    </w:rPr>
  </w:style>
  <w:style w:type="character" w:customStyle="1" w:styleId="162">
    <w:name w:val="三级标题 Char"/>
    <w:link w:val="163"/>
    <w:uiPriority w:val="0"/>
    <w:rPr>
      <w:rFonts w:ascii="黑体" w:hAnsi="黑体" w:eastAsia="黑体"/>
      <w:kern w:val="2"/>
      <w:sz w:val="28"/>
      <w:szCs w:val="28"/>
    </w:rPr>
  </w:style>
  <w:style w:type="paragraph" w:customStyle="1" w:styleId="163">
    <w:name w:val="三级标题"/>
    <w:basedOn w:val="12"/>
    <w:link w:val="162"/>
    <w:uiPriority w:val="0"/>
    <w:pPr>
      <w:widowControl/>
      <w:spacing w:after="0" w:line="360" w:lineRule="auto"/>
      <w:ind w:left="0" w:leftChars="0"/>
    </w:pPr>
    <w:rPr>
      <w:rFonts w:ascii="黑体" w:hAnsi="黑体" w:eastAsia="黑体"/>
      <w:sz w:val="28"/>
      <w:szCs w:val="28"/>
    </w:rPr>
  </w:style>
  <w:style w:type="character" w:customStyle="1" w:styleId="164">
    <w:name w:val="YL一级 Char"/>
    <w:link w:val="165"/>
    <w:uiPriority w:val="0"/>
    <w:rPr>
      <w:rFonts w:eastAsia="宋体"/>
      <w:b/>
      <w:bCs/>
      <w:kern w:val="2"/>
      <w:sz w:val="44"/>
      <w:szCs w:val="32"/>
    </w:rPr>
  </w:style>
  <w:style w:type="paragraph" w:customStyle="1" w:styleId="165">
    <w:name w:val="YL一级"/>
    <w:basedOn w:val="1"/>
    <w:link w:val="164"/>
    <w:qFormat/>
    <w:uiPriority w:val="0"/>
    <w:pPr>
      <w:adjustRightInd w:val="0"/>
      <w:snapToGrid w:val="0"/>
      <w:spacing w:beforeLines="50" w:afterLines="50"/>
      <w:jc w:val="center"/>
      <w:outlineLvl w:val="0"/>
    </w:pPr>
    <w:rPr>
      <w:b/>
      <w:bCs/>
      <w:sz w:val="44"/>
      <w:szCs w:val="32"/>
    </w:rPr>
  </w:style>
  <w:style w:type="character" w:customStyle="1" w:styleId="166">
    <w:name w:val="招股正文格式 Char"/>
    <w:link w:val="167"/>
    <w:uiPriority w:val="0"/>
    <w:rPr>
      <w:sz w:val="24"/>
    </w:rPr>
  </w:style>
  <w:style w:type="paragraph" w:customStyle="1" w:styleId="167">
    <w:name w:val="招股正文格式"/>
    <w:basedOn w:val="1"/>
    <w:link w:val="166"/>
    <w:uiPriority w:val="0"/>
    <w:pPr>
      <w:spacing w:beforeLines="50" w:line="360" w:lineRule="auto"/>
      <w:ind w:firstLine="200" w:firstLineChars="200"/>
    </w:pPr>
    <w:rPr>
      <w:kern w:val="0"/>
      <w:sz w:val="24"/>
      <w:szCs w:val="20"/>
    </w:rPr>
  </w:style>
  <w:style w:type="character" w:customStyle="1" w:styleId="168">
    <w:name w:val="15"/>
    <w:uiPriority w:val="0"/>
    <w:rPr>
      <w:rFonts w:hint="eastAsia" w:ascii="宋体" w:hAnsi="宋体" w:eastAsia="宋体"/>
      <w:b/>
      <w:bCs/>
      <w:color w:val="000000"/>
      <w:sz w:val="28"/>
      <w:szCs w:val="28"/>
    </w:rPr>
  </w:style>
  <w:style w:type="paragraph" w:customStyle="1" w:styleId="169">
    <w:name w:val="p18"/>
    <w:basedOn w:val="1"/>
    <w:uiPriority w:val="0"/>
    <w:pPr>
      <w:widowControl/>
      <w:spacing w:line="360" w:lineRule="auto"/>
      <w:ind w:firstLine="412"/>
    </w:pPr>
    <w:rPr>
      <w:rFonts w:ascii="宋体" w:hAnsi="宋体" w:cs="宋体"/>
      <w:b/>
      <w:bCs/>
      <w:color w:val="000000"/>
      <w:kern w:val="0"/>
      <w:sz w:val="28"/>
      <w:szCs w:val="28"/>
    </w:rPr>
  </w:style>
  <w:style w:type="paragraph" w:customStyle="1" w:styleId="170">
    <w:name w:val="样式1"/>
    <w:qFormat/>
    <w:uiPriority w:val="99"/>
    <w:pPr>
      <w:jc w:val="center"/>
    </w:pPr>
    <w:rPr>
      <w:rFonts w:ascii="Calibri" w:hAnsi="Calibri" w:eastAsia="宋体" w:cs="Times New Roman"/>
      <w:kern w:val="2"/>
      <w:sz w:val="21"/>
      <w:szCs w:val="22"/>
    </w:rPr>
  </w:style>
  <w:style w:type="paragraph" w:customStyle="1" w:styleId="171">
    <w:name w:val="列出段落2"/>
    <w:basedOn w:val="1"/>
    <w:uiPriority w:val="0"/>
    <w:pPr>
      <w:ind w:firstLine="420" w:firstLineChars="200"/>
    </w:pPr>
    <w:rPr>
      <w:szCs w:val="20"/>
    </w:rPr>
  </w:style>
  <w:style w:type="paragraph" w:customStyle="1" w:styleId="172">
    <w:name w:val="p0"/>
    <w:basedOn w:val="1"/>
    <w:uiPriority w:val="0"/>
    <w:pPr>
      <w:widowControl/>
    </w:pPr>
    <w:rPr>
      <w:kern w:val="0"/>
      <w:szCs w:val="21"/>
    </w:rPr>
  </w:style>
  <w:style w:type="paragraph" w:customStyle="1" w:styleId="173">
    <w:name w:val="样式7"/>
    <w:basedOn w:val="1"/>
    <w:next w:val="1"/>
    <w:uiPriority w:val="0"/>
    <w:pPr>
      <w:ind w:firstLine="200" w:firstLineChars="200"/>
      <w:jc w:val="left"/>
    </w:pPr>
  </w:style>
  <w:style w:type="paragraph" w:customStyle="1" w:styleId="174">
    <w:name w:val="Char Char Char Char"/>
    <w:basedOn w:val="1"/>
    <w:uiPriority w:val="0"/>
    <w:pPr>
      <w:widowControl/>
      <w:spacing w:after="160" w:line="240" w:lineRule="exact"/>
      <w:jc w:val="left"/>
    </w:pPr>
    <w:rPr>
      <w:rFonts w:ascii="Calibri" w:hAnsi="Calibri"/>
      <w:szCs w:val="20"/>
    </w:rPr>
  </w:style>
  <w:style w:type="paragraph" w:customStyle="1" w:styleId="175">
    <w:name w:val="p16"/>
    <w:basedOn w:val="1"/>
    <w:uiPriority w:val="0"/>
    <w:pPr>
      <w:widowControl/>
      <w:spacing w:line="400" w:lineRule="atLeast"/>
      <w:ind w:firstLine="470"/>
    </w:pPr>
    <w:rPr>
      <w:rFonts w:ascii="Calibri" w:hAnsi="Calibri" w:cs="宋体"/>
      <w:color w:val="000000"/>
      <w:kern w:val="0"/>
      <w:sz w:val="24"/>
    </w:rPr>
  </w:style>
  <w:style w:type="paragraph" w:customStyle="1" w:styleId="176">
    <w:name w:val="p15"/>
    <w:basedOn w:val="1"/>
    <w:uiPriority w:val="0"/>
    <w:pPr>
      <w:widowControl/>
      <w:spacing w:line="360" w:lineRule="auto"/>
    </w:pPr>
    <w:rPr>
      <w:rFonts w:ascii="黑体" w:hAnsi="宋体" w:eastAsia="黑体" w:cs="宋体"/>
      <w:b/>
      <w:bCs/>
      <w:kern w:val="0"/>
      <w:sz w:val="30"/>
      <w:szCs w:val="30"/>
    </w:rPr>
  </w:style>
  <w:style w:type="paragraph" w:customStyle="1" w:styleId="177">
    <w:name w:val="正文文本缩进 31"/>
    <w:basedOn w:val="1"/>
    <w:uiPriority w:val="0"/>
    <w:pPr>
      <w:spacing w:after="120"/>
      <w:ind w:left="420" w:leftChars="200"/>
    </w:pPr>
    <w:rPr>
      <w:sz w:val="16"/>
      <w:szCs w:val="16"/>
    </w:rPr>
  </w:style>
  <w:style w:type="paragraph" w:customStyle="1" w:styleId="178">
    <w:name w:val="p19"/>
    <w:basedOn w:val="1"/>
    <w:uiPriority w:val="0"/>
    <w:pPr>
      <w:widowControl/>
      <w:spacing w:line="360" w:lineRule="auto"/>
    </w:pPr>
    <w:rPr>
      <w:rFonts w:ascii="黑体" w:hAnsi="宋体" w:eastAsia="黑体" w:cs="宋体"/>
      <w:kern w:val="0"/>
      <w:sz w:val="28"/>
      <w:szCs w:val="28"/>
    </w:rPr>
  </w:style>
  <w:style w:type="paragraph" w:customStyle="1" w:styleId="179">
    <w:name w:val="缺省文本"/>
    <w:basedOn w:val="1"/>
    <w:uiPriority w:val="0"/>
    <w:pPr>
      <w:autoSpaceDE w:val="0"/>
      <w:autoSpaceDN w:val="0"/>
      <w:adjustRightInd w:val="0"/>
      <w:jc w:val="left"/>
    </w:pPr>
    <w:rPr>
      <w:kern w:val="0"/>
      <w:sz w:val="24"/>
      <w:szCs w:val="20"/>
    </w:rPr>
  </w:style>
  <w:style w:type="paragraph" w:customStyle="1" w:styleId="180">
    <w:name w:val="xl24"/>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olor w:val="000000"/>
      <w:kern w:val="0"/>
      <w:sz w:val="18"/>
      <w:szCs w:val="18"/>
    </w:rPr>
  </w:style>
  <w:style w:type="paragraph" w:customStyle="1" w:styleId="181">
    <w:name w:val="p17"/>
    <w:basedOn w:val="1"/>
    <w:uiPriority w:val="0"/>
    <w:pPr>
      <w:widowControl/>
      <w:spacing w:line="300" w:lineRule="auto"/>
      <w:ind w:firstLine="470"/>
    </w:pPr>
    <w:rPr>
      <w:kern w:val="0"/>
      <w:sz w:val="24"/>
    </w:rPr>
  </w:style>
  <w:style w:type="paragraph" w:customStyle="1" w:styleId="182">
    <w:name w:val="Char Char Char1 Char"/>
    <w:basedOn w:val="1"/>
    <w:uiPriority w:val="0"/>
    <w:rPr>
      <w:rFonts w:ascii="Tahoma" w:hAnsi="Tahoma"/>
      <w:sz w:val="24"/>
      <w:szCs w:val="20"/>
    </w:rPr>
  </w:style>
  <w:style w:type="paragraph" w:customStyle="1" w:styleId="183">
    <w:name w:val="album-div"/>
    <w:basedOn w:val="1"/>
    <w:uiPriority w:val="0"/>
    <w:pPr>
      <w:widowControl/>
      <w:spacing w:before="100" w:beforeAutospacing="1" w:after="100" w:afterAutospacing="1"/>
      <w:jc w:val="left"/>
    </w:pPr>
    <w:rPr>
      <w:rFonts w:ascii="宋体" w:hAnsi="宋体" w:cs="宋体"/>
      <w:kern w:val="0"/>
      <w:sz w:val="24"/>
    </w:rPr>
  </w:style>
  <w:style w:type="paragraph" w:customStyle="1" w:styleId="184">
    <w:name w:val="列出段落1"/>
    <w:basedOn w:val="1"/>
    <w:uiPriority w:val="99"/>
    <w:pPr>
      <w:ind w:firstLine="420" w:firstLineChars="200"/>
    </w:pPr>
  </w:style>
  <w:style w:type="paragraph" w:customStyle="1" w:styleId="185">
    <w:name w:val="XN五级标题"/>
    <w:basedOn w:val="1"/>
    <w:uiPriority w:val="0"/>
    <w:pPr>
      <w:adjustRightInd w:val="0"/>
      <w:spacing w:afterLines="50"/>
      <w:ind w:firstLine="200" w:firstLineChars="200"/>
      <w:outlineLvl w:val="4"/>
    </w:pPr>
    <w:rPr>
      <w:rFonts w:ascii="仿宋" w:hAnsi="仿宋" w:eastAsia="仿宋"/>
      <w:b/>
      <w:color w:val="000000"/>
      <w:sz w:val="24"/>
    </w:rPr>
  </w:style>
  <w:style w:type="paragraph" w:styleId="186">
    <w:name w:val="List Paragraph"/>
    <w:basedOn w:val="1"/>
    <w:qFormat/>
    <w:uiPriority w:val="34"/>
    <w:pPr>
      <w:ind w:firstLine="420" w:firstLineChars="200"/>
    </w:pPr>
  </w:style>
  <w:style w:type="paragraph" w:styleId="187">
    <w:name w:val=""/>
    <w:basedOn w:val="2"/>
    <w:next w:val="1"/>
    <w:qFormat/>
    <w:uiPriority w:val="39"/>
    <w:pPr>
      <w:widowControl/>
      <w:spacing w:before="480" w:beforeAutospacing="0" w:after="0" w:afterAutospacing="0" w:line="276" w:lineRule="auto"/>
      <w:jc w:val="left"/>
      <w:outlineLvl w:val="9"/>
    </w:pPr>
    <w:rPr>
      <w:rFonts w:ascii="Cambria" w:hAnsi="Cambria" w:eastAsia="宋体" w:cs="Times New Roman"/>
      <w:color w:val="365F91"/>
      <w:kern w:val="0"/>
      <w:sz w:val="28"/>
      <w:szCs w:val="28"/>
    </w:rPr>
  </w:style>
  <w:style w:type="paragraph" w:customStyle="1" w:styleId="188">
    <w:name w:val="列出段落3"/>
    <w:basedOn w:val="1"/>
    <w:uiPriority w:val="0"/>
    <w:pPr>
      <w:ind w:firstLine="420" w:firstLineChars="200"/>
    </w:pPr>
  </w:style>
  <w:style w:type="table" w:customStyle="1" w:styleId="189">
    <w:name w:val="样式2"/>
    <w:basedOn w:val="35"/>
    <w:qFormat/>
    <w:uiPriority w:val="99"/>
    <w:rPr>
      <w:rFonts w:ascii="Calibri" w:hAnsi="Calibri" w:eastAsia="宋体" w:cs="Times New Roman"/>
      <w:kern w:val="2"/>
      <w:sz w:val="21"/>
      <w:szCs w:val="22"/>
    </w:r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DBE5F1"/>
    </w:tcPr>
    <w:tblStylePr w:type="firstRow">
      <w:tblPr>
        <w:tblStyle w:val="35"/>
      </w:tblPr>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paragraph" w:customStyle="1" w:styleId="190">
    <w:name w:val="Heading 11"/>
    <w:basedOn w:val="1"/>
    <w:qFormat/>
    <w:uiPriority w:val="99"/>
    <w:pPr>
      <w:outlineLvl w:val="1"/>
    </w:pPr>
    <w:rPr>
      <w:rFonts w:ascii="黑体" w:hAnsi="黑体" w:eastAsia="黑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落雪梨花——扬帆技术论坛更新版</Company>
  <Pages>16</Pages>
  <Words>1507</Words>
  <Characters>8591</Characters>
  <Lines>71</Lines>
  <Paragraphs>20</Paragraphs>
  <TotalTime>2</TotalTime>
  <ScaleCrop>false</ScaleCrop>
  <LinksUpToDate>false</LinksUpToDate>
  <CharactersWithSpaces>10078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2016-08-26T01:47:00Z</dcterms:created>
  <dc:creator>user</dc:creator>
  <cp:lastModifiedBy>新房客</cp:lastModifiedBy>
  <cp:lastPrinted>2021-05-26T02:31:00Z</cp:lastPrinted>
  <dcterms:modified xsi:type="dcterms:W3CDTF">2021-06-11T01:55:14Z</dcterms:modified>
  <dc:title>社会责任报告</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E368583A82584F7BBE54D71E0ABC3D5A</vt:lpwstr>
  </property>
</Properties>
</file>